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38" w:rsidRPr="00210A7B" w:rsidRDefault="005B6D38">
      <w:pPr>
        <w:jc w:val="center"/>
      </w:pPr>
    </w:p>
    <w:p w:rsidR="005B6D38" w:rsidRPr="00210A7B" w:rsidRDefault="005B6D38">
      <w:pPr>
        <w:pStyle w:val="Ttulo6"/>
        <w:rPr>
          <w:sz w:val="20"/>
        </w:rPr>
      </w:pPr>
      <w:r w:rsidRPr="00210A7B">
        <w:rPr>
          <w:sz w:val="20"/>
        </w:rPr>
        <w:t>MATRIZ DE PLANEJAMENTO</w:t>
      </w:r>
      <w:r w:rsidR="00642067" w:rsidRPr="00210A7B">
        <w:rPr>
          <w:sz w:val="20"/>
        </w:rPr>
        <w:t xml:space="preserve"> </w:t>
      </w:r>
      <w:r w:rsidR="00802204" w:rsidRPr="00210A7B">
        <w:rPr>
          <w:sz w:val="20"/>
        </w:rPr>
        <w:t>–</w:t>
      </w:r>
      <w:r w:rsidR="00642067" w:rsidRPr="00210A7B">
        <w:rPr>
          <w:sz w:val="20"/>
        </w:rPr>
        <w:t xml:space="preserve"> </w:t>
      </w:r>
      <w:r w:rsidR="00D23FB8" w:rsidRPr="00210A7B">
        <w:rPr>
          <w:sz w:val="20"/>
        </w:rPr>
        <w:t>CON</w:t>
      </w:r>
      <w:r w:rsidR="00414D8E" w:rsidRPr="00210A7B">
        <w:rPr>
          <w:sz w:val="20"/>
        </w:rPr>
        <w:t>TRAT</w:t>
      </w:r>
      <w:r w:rsidR="005D69E3" w:rsidRPr="00210A7B">
        <w:rPr>
          <w:sz w:val="20"/>
        </w:rPr>
        <w:t>AÇÃO DIRETA</w:t>
      </w:r>
    </w:p>
    <w:p w:rsidR="005016C3" w:rsidRPr="00210A7B" w:rsidRDefault="005016C3" w:rsidP="005016C3"/>
    <w:p w:rsidR="005B6D38" w:rsidRPr="00210A7B" w:rsidRDefault="005B6D38" w:rsidP="00F52712">
      <w:pPr>
        <w:ind w:left="-426" w:firstLine="426"/>
        <w:jc w:val="both"/>
      </w:pPr>
      <w:r w:rsidRPr="00210A7B">
        <w:rPr>
          <w:b/>
        </w:rPr>
        <w:t>TC nº</w:t>
      </w:r>
      <w:r w:rsidRPr="00210A7B">
        <w:t xml:space="preserve"> </w:t>
      </w:r>
      <w:r w:rsidRPr="00210A7B">
        <w:tab/>
      </w:r>
      <w:r w:rsidRPr="00210A7B">
        <w:tab/>
      </w:r>
      <w:r w:rsidRPr="00210A7B">
        <w:tab/>
      </w:r>
      <w:proofErr w:type="spellStart"/>
      <w:r w:rsidRPr="00210A7B">
        <w:rPr>
          <w:b/>
        </w:rPr>
        <w:t>Fiscalis</w:t>
      </w:r>
      <w:proofErr w:type="spellEnd"/>
      <w:r w:rsidRPr="00210A7B">
        <w:rPr>
          <w:b/>
        </w:rPr>
        <w:t xml:space="preserve"> nº</w:t>
      </w:r>
      <w:r w:rsidRPr="00210A7B">
        <w:t xml:space="preserve"> </w:t>
      </w:r>
    </w:p>
    <w:p w:rsidR="005B6D38" w:rsidRPr="00210A7B" w:rsidRDefault="005B6D38" w:rsidP="00F52712">
      <w:pPr>
        <w:ind w:left="-426" w:firstLine="426"/>
        <w:jc w:val="both"/>
      </w:pPr>
      <w:r w:rsidRPr="00210A7B">
        <w:rPr>
          <w:b/>
        </w:rPr>
        <w:t>ÓRGÃO/ENTIDADE:</w:t>
      </w:r>
      <w:r w:rsidRPr="00210A7B">
        <w:t xml:space="preserve"> Declarar o(s) nome(s) do(s) principais órgão(s</w:t>
      </w:r>
      <w:proofErr w:type="gramStart"/>
      <w:r w:rsidRPr="00210A7B">
        <w:t>)</w:t>
      </w:r>
      <w:proofErr w:type="gramEnd"/>
      <w:r w:rsidRPr="00210A7B">
        <w:t xml:space="preserve">/entidade(s) </w:t>
      </w:r>
      <w:r w:rsidR="00196CD7" w:rsidRPr="00210A7B">
        <w:t>fiscalizados</w:t>
      </w:r>
      <w:r w:rsidRPr="00210A7B">
        <w:t>(s)</w:t>
      </w:r>
      <w:r w:rsidR="004D5320" w:rsidRPr="00210A7B">
        <w:t>.</w:t>
      </w:r>
    </w:p>
    <w:p w:rsidR="005B6D38" w:rsidRPr="00210A7B" w:rsidRDefault="005B6D38" w:rsidP="00F52712">
      <w:pPr>
        <w:ind w:left="-426" w:firstLine="426"/>
        <w:jc w:val="both"/>
      </w:pPr>
      <w:r w:rsidRPr="00210A7B">
        <w:rPr>
          <w:b/>
        </w:rPr>
        <w:t xml:space="preserve">OBJETIVO: </w:t>
      </w:r>
      <w:r w:rsidRPr="00210A7B">
        <w:t xml:space="preserve">Enunciar de forma clara e resumida o objetivo da </w:t>
      </w:r>
      <w:r w:rsidR="00196CD7" w:rsidRPr="00210A7B">
        <w:t>fiscalização</w:t>
      </w:r>
      <w:r w:rsidRPr="00210A7B">
        <w:t>.</w:t>
      </w:r>
    </w:p>
    <w:tbl>
      <w:tblPr>
        <w:tblW w:w="497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tblPr>
      <w:tblGrid>
        <w:gridCol w:w="2065"/>
        <w:gridCol w:w="2086"/>
        <w:gridCol w:w="2373"/>
        <w:gridCol w:w="5799"/>
        <w:gridCol w:w="2306"/>
      </w:tblGrid>
      <w:tr w:rsidR="008C51E9" w:rsidRPr="00B17F07" w:rsidTr="005D69E3">
        <w:trPr>
          <w:trHeight w:hRule="exact" w:val="651"/>
          <w:tblHeader/>
        </w:trPr>
        <w:tc>
          <w:tcPr>
            <w:tcW w:w="706" w:type="pct"/>
            <w:shd w:val="clear" w:color="auto" w:fill="D9D9D9"/>
            <w:vAlign w:val="center"/>
          </w:tcPr>
          <w:p w:rsidR="003075EE" w:rsidRPr="00B17F07" w:rsidRDefault="003075EE">
            <w:pPr>
              <w:spacing w:before="120"/>
              <w:jc w:val="center"/>
              <w:rPr>
                <w:b/>
              </w:rPr>
            </w:pPr>
            <w:r w:rsidRPr="00B17F07">
              <w:rPr>
                <w:b/>
              </w:rPr>
              <w:t>QUESTÕES DE AUDITORIA</w:t>
            </w:r>
          </w:p>
        </w:tc>
        <w:tc>
          <w:tcPr>
            <w:tcW w:w="713" w:type="pct"/>
            <w:shd w:val="clear" w:color="auto" w:fill="D9D9D9"/>
            <w:vAlign w:val="center"/>
          </w:tcPr>
          <w:p w:rsidR="003075EE" w:rsidRPr="00B17F07" w:rsidRDefault="003075EE">
            <w:pPr>
              <w:spacing w:before="120"/>
              <w:jc w:val="center"/>
              <w:rPr>
                <w:b/>
              </w:rPr>
            </w:pPr>
            <w:r w:rsidRPr="00B17F07">
              <w:rPr>
                <w:b/>
              </w:rPr>
              <w:t>INFORMAÇÕES REQUERIDAS</w:t>
            </w:r>
          </w:p>
        </w:tc>
        <w:tc>
          <w:tcPr>
            <w:tcW w:w="811" w:type="pct"/>
            <w:shd w:val="clear" w:color="auto" w:fill="D9D9D9"/>
            <w:vAlign w:val="center"/>
          </w:tcPr>
          <w:p w:rsidR="003075EE" w:rsidRPr="00B17F07" w:rsidRDefault="003075EE">
            <w:pPr>
              <w:spacing w:before="120"/>
              <w:jc w:val="center"/>
              <w:rPr>
                <w:b/>
              </w:rPr>
            </w:pPr>
            <w:r w:rsidRPr="00B17F07">
              <w:rPr>
                <w:b/>
              </w:rPr>
              <w:t>FONTES DE INFORMAÇÃO</w:t>
            </w:r>
          </w:p>
        </w:tc>
        <w:tc>
          <w:tcPr>
            <w:tcW w:w="1982" w:type="pct"/>
            <w:shd w:val="clear" w:color="auto" w:fill="D9D9D9"/>
            <w:vAlign w:val="center"/>
          </w:tcPr>
          <w:p w:rsidR="003075EE" w:rsidRPr="00B17F07" w:rsidRDefault="003075EE">
            <w:pPr>
              <w:spacing w:before="120"/>
              <w:jc w:val="center"/>
              <w:rPr>
                <w:b/>
              </w:rPr>
            </w:pPr>
            <w:r w:rsidRPr="00B17F07">
              <w:rPr>
                <w:b/>
              </w:rPr>
              <w:t>DETALHAMENTO DO PROCEDIMENTO</w:t>
            </w:r>
          </w:p>
        </w:tc>
        <w:tc>
          <w:tcPr>
            <w:tcW w:w="788" w:type="pct"/>
            <w:tcBorders>
              <w:bottom w:val="single" w:sz="4" w:space="0" w:color="auto"/>
            </w:tcBorders>
            <w:shd w:val="clear" w:color="auto" w:fill="D9D9D9"/>
            <w:vAlign w:val="center"/>
          </w:tcPr>
          <w:p w:rsidR="003075EE" w:rsidRPr="00B17F07" w:rsidRDefault="003075EE">
            <w:pPr>
              <w:spacing w:before="120"/>
              <w:jc w:val="center"/>
              <w:rPr>
                <w:b/>
              </w:rPr>
            </w:pPr>
            <w:r w:rsidRPr="00B17F07">
              <w:rPr>
                <w:b/>
              </w:rPr>
              <w:t>POSSÍVEIS ACHADOS</w:t>
            </w:r>
          </w:p>
        </w:tc>
      </w:tr>
      <w:tr w:rsidR="005D69E3" w:rsidRPr="00B17F07" w:rsidTr="005D69E3">
        <w:trPr>
          <w:cantSplit/>
          <w:trHeight w:val="1283"/>
        </w:trPr>
        <w:tc>
          <w:tcPr>
            <w:tcW w:w="706" w:type="pct"/>
          </w:tcPr>
          <w:p w:rsidR="005D69E3" w:rsidRPr="00B17F07" w:rsidRDefault="00CB7C97" w:rsidP="00676407">
            <w:r w:rsidRPr="00B17F07">
              <w:t>Q</w:t>
            </w:r>
            <w:r w:rsidR="005D69E3" w:rsidRPr="00B17F07">
              <w:t xml:space="preserve">1. </w:t>
            </w:r>
            <w:r w:rsidR="00676407" w:rsidRPr="00B17F07">
              <w:t>Há fracionamento de despesas, com utilização indevida da dispensa por pequeno valor (art. 24, incisos I e II, da Lei 8.666/1993)</w:t>
            </w:r>
            <w:r w:rsidR="005D69E3" w:rsidRPr="00B17F07">
              <w:t xml:space="preserve">? </w:t>
            </w:r>
          </w:p>
        </w:tc>
        <w:tc>
          <w:tcPr>
            <w:tcW w:w="713" w:type="pct"/>
          </w:tcPr>
          <w:p w:rsidR="005D69E3" w:rsidRPr="00B17F07" w:rsidRDefault="005D69E3" w:rsidP="00461311">
            <w:r w:rsidRPr="00B17F07">
              <w:t>Gastos com dispensa de licitação.</w:t>
            </w:r>
          </w:p>
          <w:p w:rsidR="005D69E3" w:rsidRPr="00B17F07" w:rsidRDefault="005D69E3" w:rsidP="00461311">
            <w:r w:rsidRPr="00B17F07">
              <w:t>Gastos totais com processos licitatórios.</w:t>
            </w:r>
          </w:p>
          <w:p w:rsidR="00676407" w:rsidRPr="00B17F07" w:rsidRDefault="00676407" w:rsidP="00676407">
            <w:r w:rsidRPr="00B17F07">
              <w:t>Relação de pagamentos por objeto</w:t>
            </w:r>
            <w:r w:rsidR="00BF3F50" w:rsidRPr="00B17F07">
              <w:t>,</w:t>
            </w:r>
            <w:r w:rsidRPr="00B17F07">
              <w:t xml:space="preserve"> valor e favorecido.</w:t>
            </w:r>
          </w:p>
          <w:p w:rsidR="005D69E3" w:rsidRPr="00B17F07" w:rsidRDefault="005D69E3" w:rsidP="00461311">
            <w:r w:rsidRPr="00B17F07">
              <w:t>Empenhos realizados para atender dispensas de licitação.</w:t>
            </w:r>
          </w:p>
          <w:p w:rsidR="00E44A07" w:rsidRPr="00B17F07" w:rsidRDefault="00E44A07" w:rsidP="00461311">
            <w:r w:rsidRPr="00B17F07">
              <w:t>Cláusulas do contrato decorrente da dispensa ou de outro instrumento que o substitua (descrição do objeto, valor e prazo de execução)</w:t>
            </w:r>
            <w:r w:rsidR="00BF3F50" w:rsidRPr="00B17F07">
              <w:t>.</w:t>
            </w:r>
          </w:p>
        </w:tc>
        <w:tc>
          <w:tcPr>
            <w:tcW w:w="811" w:type="pct"/>
          </w:tcPr>
          <w:p w:rsidR="005D69E3" w:rsidRPr="00B17F07" w:rsidRDefault="00676407" w:rsidP="00461311">
            <w:r w:rsidRPr="00B17F07">
              <w:t xml:space="preserve">Sistema </w:t>
            </w:r>
            <w:proofErr w:type="spellStart"/>
            <w:r w:rsidRPr="00B17F07">
              <w:t>Siafi</w:t>
            </w:r>
            <w:proofErr w:type="spellEnd"/>
            <w:r w:rsidRPr="00B17F07">
              <w:t>.</w:t>
            </w:r>
          </w:p>
          <w:p w:rsidR="005D69E3" w:rsidRPr="00B17F07" w:rsidRDefault="005D69E3" w:rsidP="00461311">
            <w:r w:rsidRPr="00B17F07">
              <w:t>Processos licitatórios</w:t>
            </w:r>
            <w:r w:rsidR="00E44A07" w:rsidRPr="00B17F07">
              <w:t xml:space="preserve"> e de contratação direta</w:t>
            </w:r>
            <w:r w:rsidRPr="00B17F07">
              <w:t>.</w:t>
            </w:r>
          </w:p>
          <w:p w:rsidR="00676407" w:rsidRPr="00B17F07" w:rsidRDefault="00676407" w:rsidP="00461311">
            <w:r w:rsidRPr="00B17F07">
              <w:t>Documento de resposta ao ofício de requisição.</w:t>
            </w:r>
          </w:p>
          <w:p w:rsidR="00676407" w:rsidRPr="00B17F07" w:rsidRDefault="00676407" w:rsidP="00461311">
            <w:r w:rsidRPr="00B17F07">
              <w:t>Processos de dispensa de licitação.</w:t>
            </w:r>
          </w:p>
          <w:p w:rsidR="00676407" w:rsidRPr="00B17F07" w:rsidRDefault="00676407" w:rsidP="00461311">
            <w:r w:rsidRPr="00B17F07">
              <w:t>Contrato ou outro instrumento (carta-contrato, nota de empenho, autorização de compra, ordem de execução de serviço).</w:t>
            </w:r>
          </w:p>
        </w:tc>
        <w:tc>
          <w:tcPr>
            <w:tcW w:w="1982" w:type="pct"/>
          </w:tcPr>
          <w:p w:rsidR="00A645B2" w:rsidRPr="00B17F07" w:rsidRDefault="005D69E3" w:rsidP="005B1A1C">
            <w:pPr>
              <w:widowControl w:val="0"/>
              <w:spacing w:after="0"/>
              <w:jc w:val="both"/>
              <w:rPr>
                <w:b/>
                <w:snapToGrid w:val="0"/>
              </w:rPr>
            </w:pPr>
            <w:r w:rsidRPr="00B17F07">
              <w:rPr>
                <w:b/>
                <w:snapToGrid w:val="0"/>
              </w:rPr>
              <w:t xml:space="preserve">Uso indevido da dispensa com base em valor </w:t>
            </w:r>
          </w:p>
          <w:p w:rsidR="005D69E3" w:rsidRPr="00B17F07" w:rsidRDefault="005D69E3" w:rsidP="005B1A1C">
            <w:pPr>
              <w:widowControl w:val="0"/>
              <w:spacing w:after="0"/>
              <w:jc w:val="both"/>
              <w:rPr>
                <w:b/>
                <w:snapToGrid w:val="0"/>
              </w:rPr>
            </w:pPr>
            <w:r w:rsidRPr="00B17F07">
              <w:rPr>
                <w:snapToGrid w:val="0"/>
              </w:rPr>
              <w:t>1.1. Verificar se o órgão está utilizando o instituto da dispensa de licitação por valor, na forma dos incisos I e II do art. 24 da Lei 8.666/93, como fuga ao dever de licitar</w:t>
            </w:r>
            <w:r w:rsidR="000437F3" w:rsidRPr="00B17F07">
              <w:rPr>
                <w:snapToGrid w:val="0"/>
              </w:rPr>
              <w:t>, mediante os seguintes procedimentos:</w:t>
            </w:r>
            <w:r w:rsidRPr="00B17F07">
              <w:rPr>
                <w:snapToGrid w:val="0"/>
              </w:rPr>
              <w:t xml:space="preserve"> </w:t>
            </w:r>
          </w:p>
          <w:p w:rsidR="005D69E3" w:rsidRPr="00B17F07" w:rsidRDefault="00CB6DD9" w:rsidP="005B1A1C">
            <w:pPr>
              <w:widowControl w:val="0"/>
              <w:spacing w:after="0"/>
              <w:jc w:val="both"/>
              <w:rPr>
                <w:snapToGrid w:val="0"/>
              </w:rPr>
            </w:pPr>
            <w:r w:rsidRPr="00B17F07">
              <w:rPr>
                <w:snapToGrid w:val="0"/>
              </w:rPr>
              <w:t>1.1.1. L</w:t>
            </w:r>
            <w:r w:rsidR="005D69E3" w:rsidRPr="00B17F07">
              <w:rPr>
                <w:snapToGrid w:val="0"/>
              </w:rPr>
              <w:t xml:space="preserve">evantar no </w:t>
            </w:r>
            <w:proofErr w:type="spellStart"/>
            <w:r w:rsidR="005D69E3" w:rsidRPr="00B17F07">
              <w:rPr>
                <w:snapToGrid w:val="0"/>
              </w:rPr>
              <w:t>S</w:t>
            </w:r>
            <w:r w:rsidRPr="00B17F07">
              <w:rPr>
                <w:snapToGrid w:val="0"/>
              </w:rPr>
              <w:t>iafi</w:t>
            </w:r>
            <w:proofErr w:type="spellEnd"/>
            <w:r w:rsidR="005D69E3" w:rsidRPr="00B17F07">
              <w:rPr>
                <w:snapToGrid w:val="0"/>
              </w:rPr>
              <w:t>, para o período de gestão examinado, o percentual de gastos com dispensa de licitação em relação ao total de gastos licitados, excluindo-se os valores gastos com pessoal e encargos, operações especiais e transferências voluntárias, por não estarem sujeitos à licitação</w:t>
            </w:r>
            <w:r w:rsidR="005B1A1C" w:rsidRPr="00B17F07">
              <w:rPr>
                <w:snapToGrid w:val="0"/>
              </w:rPr>
              <w:t>;</w:t>
            </w:r>
          </w:p>
          <w:p w:rsidR="005D69E3" w:rsidRPr="00B17F07" w:rsidRDefault="00CB6DD9" w:rsidP="005B1A1C">
            <w:pPr>
              <w:widowControl w:val="0"/>
              <w:spacing w:after="0"/>
              <w:jc w:val="both"/>
              <w:rPr>
                <w:snapToGrid w:val="0"/>
              </w:rPr>
            </w:pPr>
            <w:r w:rsidRPr="00B17F07">
              <w:rPr>
                <w:snapToGrid w:val="0"/>
              </w:rPr>
              <w:t>1.1.2. E</w:t>
            </w:r>
            <w:r w:rsidR="005D69E3" w:rsidRPr="00B17F07">
              <w:rPr>
                <w:snapToGrid w:val="0"/>
              </w:rPr>
              <w:t xml:space="preserve">xtrair </w:t>
            </w:r>
            <w:r w:rsidR="00E44A07" w:rsidRPr="00B17F07">
              <w:rPr>
                <w:snapToGrid w:val="0"/>
              </w:rPr>
              <w:t xml:space="preserve">do </w:t>
            </w:r>
            <w:proofErr w:type="spellStart"/>
            <w:r w:rsidR="00E44A07" w:rsidRPr="00B17F07">
              <w:rPr>
                <w:snapToGrid w:val="0"/>
              </w:rPr>
              <w:t>S</w:t>
            </w:r>
            <w:r w:rsidRPr="00B17F07">
              <w:rPr>
                <w:snapToGrid w:val="0"/>
              </w:rPr>
              <w:t>iafi</w:t>
            </w:r>
            <w:proofErr w:type="spellEnd"/>
            <w:r w:rsidR="005D69E3" w:rsidRPr="00B17F07">
              <w:rPr>
                <w:snapToGrid w:val="0"/>
              </w:rPr>
              <w:t xml:space="preserve">, para o período examinado, a relação de pagamentos por objeto, valor e favorecido, verificando se ocorrem dispensas de licitação em curtos períodos de tempo, com objetos semelhantes ou correlatos. Caso a unidade não utilize o </w:t>
            </w:r>
            <w:proofErr w:type="spellStart"/>
            <w:r w:rsidR="005D69E3" w:rsidRPr="00B17F07">
              <w:rPr>
                <w:snapToGrid w:val="0"/>
              </w:rPr>
              <w:t>S</w:t>
            </w:r>
            <w:r w:rsidRPr="00B17F07">
              <w:rPr>
                <w:snapToGrid w:val="0"/>
              </w:rPr>
              <w:t>iafi</w:t>
            </w:r>
            <w:proofErr w:type="spellEnd"/>
            <w:r w:rsidR="005D69E3" w:rsidRPr="00B17F07">
              <w:rPr>
                <w:snapToGrid w:val="0"/>
              </w:rPr>
              <w:t xml:space="preserve"> e não disponha de sistema em que o auditor possa ter acesso para essa listagem, solicitar por ofício de comunicação ou de requisição</w:t>
            </w:r>
            <w:r w:rsidR="005B1A1C" w:rsidRPr="00B17F07">
              <w:rPr>
                <w:snapToGrid w:val="0"/>
              </w:rPr>
              <w:t>;</w:t>
            </w:r>
          </w:p>
          <w:p w:rsidR="005D69E3" w:rsidRPr="00B17F07" w:rsidRDefault="00CB6DD9" w:rsidP="005B1A1C">
            <w:pPr>
              <w:widowControl w:val="0"/>
              <w:spacing w:after="0"/>
              <w:jc w:val="both"/>
              <w:rPr>
                <w:snapToGrid w:val="0"/>
              </w:rPr>
            </w:pPr>
            <w:r w:rsidRPr="00B17F07">
              <w:rPr>
                <w:snapToGrid w:val="0"/>
              </w:rPr>
              <w:t>1.1.3. V</w:t>
            </w:r>
            <w:r w:rsidR="005D69E3" w:rsidRPr="00B17F07">
              <w:rPr>
                <w:snapToGrid w:val="0"/>
              </w:rPr>
              <w:t>erificar se o órgão reforçou o empenho da despesa realizada com dispensa de licitação, realizando um montante de despesas que não se enquadra no limite estabelecido pelo art. 24,</w:t>
            </w:r>
            <w:r w:rsidR="00E44A07" w:rsidRPr="00B17F07">
              <w:rPr>
                <w:snapToGrid w:val="0"/>
              </w:rPr>
              <w:t xml:space="preserve"> incisos I e</w:t>
            </w:r>
            <w:r w:rsidR="005D69E3" w:rsidRPr="00B17F07">
              <w:rPr>
                <w:snapToGrid w:val="0"/>
              </w:rPr>
              <w:t xml:space="preserve"> II, da Lei 8.666/</w:t>
            </w:r>
            <w:r w:rsidR="00E44A07" w:rsidRPr="00B17F07">
              <w:rPr>
                <w:snapToGrid w:val="0"/>
              </w:rPr>
              <w:t>19</w:t>
            </w:r>
            <w:r w:rsidR="005D69E3" w:rsidRPr="00B17F07">
              <w:rPr>
                <w:snapToGrid w:val="0"/>
              </w:rPr>
              <w:t>93</w:t>
            </w:r>
            <w:r w:rsidR="004920E7" w:rsidRPr="00B17F07">
              <w:rPr>
                <w:snapToGrid w:val="0"/>
              </w:rPr>
              <w:t>;</w:t>
            </w:r>
          </w:p>
          <w:p w:rsidR="00E44A07" w:rsidRPr="00B17F07" w:rsidRDefault="00E44A07" w:rsidP="005B1A1C">
            <w:pPr>
              <w:spacing w:after="0"/>
              <w:jc w:val="both"/>
            </w:pPr>
            <w:r w:rsidRPr="00B17F07">
              <w:rPr>
                <w:snapToGrid w:val="0"/>
              </w:rPr>
              <w:t xml:space="preserve">1.2. </w:t>
            </w:r>
            <w:r w:rsidRPr="00B17F07">
              <w:t xml:space="preserve">Após análise da relação </w:t>
            </w:r>
            <w:r w:rsidR="00CB6DD9" w:rsidRPr="00B17F07">
              <w:t xml:space="preserve">solicitada </w:t>
            </w:r>
            <w:r w:rsidR="000437F3" w:rsidRPr="00B17F07">
              <w:t>no item</w:t>
            </w:r>
            <w:r w:rsidRPr="00B17F07">
              <w:t xml:space="preserve"> 1.</w:t>
            </w:r>
            <w:r w:rsidR="00311130" w:rsidRPr="00B17F07">
              <w:t>1</w:t>
            </w:r>
            <w:r w:rsidRPr="00B17F07">
              <w:t>.</w:t>
            </w:r>
            <w:r w:rsidR="00CB6DD9" w:rsidRPr="00B17F07">
              <w:t>2</w:t>
            </w:r>
            <w:r w:rsidR="000437F3" w:rsidRPr="00B17F07">
              <w:t>.</w:t>
            </w:r>
            <w:r w:rsidR="005B1A1C" w:rsidRPr="00B17F07">
              <w:t xml:space="preserve"> </w:t>
            </w:r>
            <w:proofErr w:type="gramStart"/>
            <w:r w:rsidR="005B1A1C" w:rsidRPr="00B17F07">
              <w:t>supra</w:t>
            </w:r>
            <w:proofErr w:type="gramEnd"/>
            <w:r w:rsidR="000437F3" w:rsidRPr="00B17F07">
              <w:t>, s</w:t>
            </w:r>
            <w:r w:rsidRPr="00B17F07">
              <w:t xml:space="preserve">olicitar os processos das dispensas suspeitas e verificar se: </w:t>
            </w:r>
          </w:p>
          <w:p w:rsidR="00E44A07" w:rsidRPr="00B17F07" w:rsidRDefault="00CB6DD9" w:rsidP="005B1A1C">
            <w:pPr>
              <w:spacing w:after="0"/>
              <w:jc w:val="both"/>
            </w:pPr>
            <w:r w:rsidRPr="00B17F07">
              <w:t>a)</w:t>
            </w:r>
            <w:r w:rsidR="00E44A07" w:rsidRPr="00B17F07">
              <w:t xml:space="preserve"> as obras e serviços de engenharia referem-se a parcelas de uma mesma obra ou serviço ou obras e serviços de natureza idêntica e no mesmo local que possam ser realizadas conjunta e concomitantemente; </w:t>
            </w:r>
          </w:p>
        </w:tc>
        <w:tc>
          <w:tcPr>
            <w:tcW w:w="788" w:type="pct"/>
          </w:tcPr>
          <w:p w:rsidR="005D69E3" w:rsidRPr="00B17F07" w:rsidRDefault="002F3C74" w:rsidP="00461311">
            <w:pPr>
              <w:widowControl w:val="0"/>
              <w:rPr>
                <w:snapToGrid w:val="0"/>
              </w:rPr>
            </w:pPr>
            <w:r w:rsidRPr="00B17F07">
              <w:rPr>
                <w:snapToGrid w:val="0"/>
              </w:rPr>
              <w:t>A</w:t>
            </w:r>
            <w:r w:rsidR="00E44A07" w:rsidRPr="00B17F07">
              <w:rPr>
                <w:snapToGrid w:val="0"/>
              </w:rPr>
              <w:t>1</w:t>
            </w:r>
            <w:r w:rsidR="006D1049" w:rsidRPr="00B17F07">
              <w:rPr>
                <w:snapToGrid w:val="0"/>
              </w:rPr>
              <w:t xml:space="preserve"> -</w:t>
            </w:r>
            <w:proofErr w:type="gramStart"/>
            <w:r w:rsidR="006D1049" w:rsidRPr="00B17F07">
              <w:rPr>
                <w:snapToGrid w:val="0"/>
              </w:rPr>
              <w:t xml:space="preserve"> </w:t>
            </w:r>
            <w:r w:rsidRPr="00B17F07">
              <w:rPr>
                <w:snapToGrid w:val="0"/>
              </w:rPr>
              <w:t xml:space="preserve"> </w:t>
            </w:r>
            <w:proofErr w:type="gramEnd"/>
            <w:r w:rsidR="005D69E3" w:rsidRPr="00B17F07">
              <w:rPr>
                <w:snapToGrid w:val="0"/>
              </w:rPr>
              <w:t>Fuga à licitação em virtude de fracionamento de despesas.</w:t>
            </w:r>
          </w:p>
          <w:p w:rsidR="005D69E3" w:rsidRPr="00B17F07" w:rsidRDefault="002F3C74" w:rsidP="00CB6DD9">
            <w:pPr>
              <w:widowControl w:val="0"/>
              <w:rPr>
                <w:snapToGrid w:val="0"/>
                <w:color w:val="000000"/>
              </w:rPr>
            </w:pPr>
            <w:r w:rsidRPr="00B17F07">
              <w:rPr>
                <w:snapToGrid w:val="0"/>
              </w:rPr>
              <w:t>A2</w:t>
            </w:r>
            <w:r w:rsidR="006D1049" w:rsidRPr="00B17F07">
              <w:rPr>
                <w:snapToGrid w:val="0"/>
              </w:rPr>
              <w:t xml:space="preserve"> -</w:t>
            </w:r>
            <w:proofErr w:type="gramStart"/>
            <w:r w:rsidR="006D1049" w:rsidRPr="00B17F07">
              <w:rPr>
                <w:snapToGrid w:val="0"/>
              </w:rPr>
              <w:t xml:space="preserve"> </w:t>
            </w:r>
            <w:r w:rsidRPr="00B17F07">
              <w:rPr>
                <w:snapToGrid w:val="0"/>
              </w:rPr>
              <w:t xml:space="preserve"> </w:t>
            </w:r>
            <w:proofErr w:type="gramEnd"/>
            <w:r w:rsidR="005D69E3" w:rsidRPr="00B17F07">
              <w:rPr>
                <w:snapToGrid w:val="0"/>
              </w:rPr>
              <w:t>Contratação direta indevida em virtude de falha de planejamento.</w:t>
            </w:r>
          </w:p>
        </w:tc>
      </w:tr>
      <w:tr w:rsidR="00351D50" w:rsidRPr="00B17F07" w:rsidTr="00351D50">
        <w:trPr>
          <w:cantSplit/>
          <w:trHeight w:val="909"/>
        </w:trPr>
        <w:tc>
          <w:tcPr>
            <w:tcW w:w="706" w:type="pct"/>
          </w:tcPr>
          <w:p w:rsidR="00351D50" w:rsidRPr="00B17F07" w:rsidRDefault="00351D50" w:rsidP="00676407"/>
        </w:tc>
        <w:tc>
          <w:tcPr>
            <w:tcW w:w="713" w:type="pct"/>
          </w:tcPr>
          <w:p w:rsidR="00351D50" w:rsidRPr="00B17F07" w:rsidRDefault="00351D50" w:rsidP="00461311"/>
        </w:tc>
        <w:tc>
          <w:tcPr>
            <w:tcW w:w="811" w:type="pct"/>
          </w:tcPr>
          <w:p w:rsidR="00351D50" w:rsidRPr="00B17F07" w:rsidRDefault="00351D50" w:rsidP="00461311"/>
        </w:tc>
        <w:tc>
          <w:tcPr>
            <w:tcW w:w="1982" w:type="pct"/>
          </w:tcPr>
          <w:p w:rsidR="009247C4" w:rsidRPr="00B17F07" w:rsidRDefault="009247C4" w:rsidP="005B1A1C">
            <w:pPr>
              <w:spacing w:after="0"/>
              <w:jc w:val="both"/>
            </w:pPr>
            <w:r w:rsidRPr="00B17F07">
              <w:t>b) as compras e outros serviços referem-se a parcelas de um mesmo serviço, compra ou alienação de maior vulto que possam ser realizadas de uma só vez;</w:t>
            </w:r>
          </w:p>
          <w:p w:rsidR="009247C4" w:rsidRPr="00B17F07" w:rsidRDefault="009247C4" w:rsidP="005B1A1C">
            <w:pPr>
              <w:spacing w:after="0"/>
              <w:jc w:val="both"/>
            </w:pPr>
            <w:r w:rsidRPr="00B17F07">
              <w:t>c) a execução de obras ou prestação de serviços foi programada na totalidade, com previsão de custos atual e final e dos prazos de execução;</w:t>
            </w:r>
          </w:p>
          <w:p w:rsidR="00351D50" w:rsidRPr="00B17F07" w:rsidRDefault="00351D50" w:rsidP="005B1A1C">
            <w:pPr>
              <w:widowControl w:val="0"/>
              <w:spacing w:after="0"/>
              <w:jc w:val="both"/>
              <w:rPr>
                <w:b/>
                <w:snapToGrid w:val="0"/>
              </w:rPr>
            </w:pPr>
            <w:r w:rsidRPr="00B17F07">
              <w:t>d) o valor relativo à estimativa da despesa corresponde ao total da compra ou do serviço, para garantir que o objeto não foi fracionado para se enquadrar na hipótese de dispensa.</w:t>
            </w:r>
          </w:p>
        </w:tc>
        <w:tc>
          <w:tcPr>
            <w:tcW w:w="788" w:type="pct"/>
          </w:tcPr>
          <w:p w:rsidR="00351D50" w:rsidRPr="00B17F07" w:rsidRDefault="00351D50" w:rsidP="00461311">
            <w:pPr>
              <w:widowControl w:val="0"/>
              <w:rPr>
                <w:snapToGrid w:val="0"/>
              </w:rPr>
            </w:pPr>
          </w:p>
        </w:tc>
      </w:tr>
      <w:tr w:rsidR="005D69E3" w:rsidRPr="00B17F07" w:rsidTr="005D69E3">
        <w:trPr>
          <w:cantSplit/>
          <w:trHeight w:val="1283"/>
        </w:trPr>
        <w:tc>
          <w:tcPr>
            <w:tcW w:w="706" w:type="pct"/>
          </w:tcPr>
          <w:p w:rsidR="005D69E3" w:rsidRPr="00B17F07" w:rsidRDefault="005D69E3" w:rsidP="000437F3">
            <w:r w:rsidRPr="00B17F07">
              <w:t>Q2</w:t>
            </w:r>
            <w:r w:rsidR="00FB6EFF" w:rsidRPr="00B17F07">
              <w:t xml:space="preserve">. </w:t>
            </w:r>
            <w:r w:rsidR="00351D50" w:rsidRPr="00B17F07">
              <w:t>A contrataç</w:t>
            </w:r>
            <w:r w:rsidR="000437F3" w:rsidRPr="00B17F07">
              <w:t>ão</w:t>
            </w:r>
            <w:r w:rsidR="00351D50" w:rsidRPr="00B17F07">
              <w:t xml:space="preserve"> realizada mediante dispensa de licitação se enquadra em uma das hipóteses do artigo 24 da Lei 8.666/1993 </w:t>
            </w:r>
            <w:r w:rsidR="000437F3" w:rsidRPr="00B17F07">
              <w:t xml:space="preserve">e </w:t>
            </w:r>
            <w:r w:rsidR="00351D50" w:rsidRPr="00B17F07">
              <w:t>apresenta fundamentação legal correta e justificativa adequada</w:t>
            </w:r>
            <w:r w:rsidRPr="00B17F07">
              <w:t>?</w:t>
            </w:r>
            <w:r w:rsidR="00351D50" w:rsidRPr="00B17F07">
              <w:t xml:space="preserve"> </w:t>
            </w:r>
          </w:p>
        </w:tc>
        <w:tc>
          <w:tcPr>
            <w:tcW w:w="713" w:type="pct"/>
          </w:tcPr>
          <w:p w:rsidR="005D69E3" w:rsidRPr="00B17F07" w:rsidRDefault="005D69E3" w:rsidP="00461311">
            <w:r w:rsidRPr="00B17F07">
              <w:t>Conteúdo dos pareceres emitidos pelas áreas técnica e jurídica da instituição auditada</w:t>
            </w:r>
            <w:r w:rsidR="00445B0B" w:rsidRPr="00B17F07">
              <w:t>.</w:t>
            </w:r>
          </w:p>
          <w:p w:rsidR="005D69E3" w:rsidRPr="00B17F07" w:rsidRDefault="005D69E3" w:rsidP="00461311">
            <w:r w:rsidRPr="00B17F07">
              <w:t>Razões para declaração de emergência e/ou calamidade</w:t>
            </w:r>
            <w:r w:rsidR="00445B0B" w:rsidRPr="00B17F07">
              <w:t>.</w:t>
            </w:r>
            <w:r w:rsidR="00943205" w:rsidRPr="00B17F07">
              <w:t xml:space="preserve"> (2.2)</w:t>
            </w:r>
          </w:p>
          <w:p w:rsidR="005D69E3" w:rsidRPr="00B17F07" w:rsidRDefault="00351D50" w:rsidP="00CB7C97">
            <w:r w:rsidRPr="00B17F07">
              <w:t>Objeto e prazo da contratação emergencial.</w:t>
            </w:r>
            <w:r w:rsidR="00943205" w:rsidRPr="00B17F07">
              <w:t xml:space="preserve"> (2.2)</w:t>
            </w:r>
          </w:p>
          <w:p w:rsidR="00351D50" w:rsidRPr="00B17F07" w:rsidRDefault="00351D50" w:rsidP="00CB7C97">
            <w:r w:rsidRPr="00B17F07">
              <w:t>Objeto da contratação por dispensa com base no comprometimento da segurança nacional</w:t>
            </w:r>
            <w:r w:rsidR="006B171E" w:rsidRPr="00B17F07">
              <w:rPr>
                <w:snapToGrid w:val="0"/>
              </w:rPr>
              <w:t>.</w:t>
            </w:r>
            <w:r w:rsidR="00943205" w:rsidRPr="00B17F07">
              <w:t xml:space="preserve"> (2.3)</w:t>
            </w:r>
          </w:p>
          <w:p w:rsidR="00351D50" w:rsidRPr="00B17F07" w:rsidRDefault="00351D50" w:rsidP="00943205">
            <w:r w:rsidRPr="00B17F07">
              <w:t>Ratificação da dispensa com base no comprometimento da segurança nacional.</w:t>
            </w:r>
            <w:r w:rsidR="00943205" w:rsidRPr="00B17F07">
              <w:t xml:space="preserve"> (2.3)</w:t>
            </w:r>
          </w:p>
          <w:p w:rsidR="00FF48DE" w:rsidRPr="00B17F07" w:rsidRDefault="00FF48DE" w:rsidP="00943205">
            <w:r w:rsidRPr="00B17F07">
              <w:rPr>
                <w:b/>
              </w:rPr>
              <w:t>Continua...</w:t>
            </w:r>
          </w:p>
        </w:tc>
        <w:tc>
          <w:tcPr>
            <w:tcW w:w="811" w:type="pct"/>
          </w:tcPr>
          <w:p w:rsidR="005D69E3" w:rsidRPr="00B17F07" w:rsidRDefault="005D69E3" w:rsidP="00461311">
            <w:r w:rsidRPr="00B17F07">
              <w:t>Pareceres</w:t>
            </w:r>
            <w:r w:rsidR="00445B0B" w:rsidRPr="00B17F07">
              <w:t>.</w:t>
            </w:r>
          </w:p>
          <w:p w:rsidR="004A0236" w:rsidRPr="00B17F07" w:rsidRDefault="00351D50" w:rsidP="004A0236">
            <w:r w:rsidRPr="00B17F07">
              <w:t>Processo de dispensa de licitação</w:t>
            </w:r>
            <w:r w:rsidR="004920E7" w:rsidRPr="00B17F07">
              <w:t>.</w:t>
            </w:r>
            <w:r w:rsidRPr="00B17F07">
              <w:t xml:space="preserve"> </w:t>
            </w:r>
          </w:p>
          <w:p w:rsidR="004A0236" w:rsidRPr="00B17F07" w:rsidRDefault="004A0236" w:rsidP="004A0236">
            <w:pPr>
              <w:jc w:val="both"/>
            </w:pPr>
            <w:r w:rsidRPr="00B17F07">
              <w:t xml:space="preserve">Termo do contrato. </w:t>
            </w:r>
          </w:p>
          <w:p w:rsidR="004A0236" w:rsidRPr="00B17F07" w:rsidRDefault="004A0236" w:rsidP="004A0236">
            <w:r w:rsidRPr="00B17F07">
              <w:t>Decreto que declara emergência e/ou calamidade.</w:t>
            </w:r>
            <w:r w:rsidR="00943205" w:rsidRPr="00B17F07">
              <w:t xml:space="preserve"> </w:t>
            </w:r>
          </w:p>
          <w:p w:rsidR="004A0236" w:rsidRPr="00B17F07" w:rsidRDefault="004A0236" w:rsidP="004A0236">
            <w:pPr>
              <w:jc w:val="both"/>
            </w:pPr>
            <w:r w:rsidRPr="00B17F07">
              <w:t xml:space="preserve">Lei de criação, regimento interno, estatuto. </w:t>
            </w:r>
          </w:p>
          <w:p w:rsidR="004A0236" w:rsidRPr="00B17F07" w:rsidRDefault="004A0236" w:rsidP="004A0236">
            <w:r w:rsidRPr="00B17F07">
              <w:t>Estatutos da instituição brasileira incumbida regimental ou estatutariamente da pesquisa, do ensino ou do desenvolvimento institucional</w:t>
            </w:r>
            <w:r w:rsidR="00B7266C" w:rsidRPr="00B17F07">
              <w:t>.</w:t>
            </w:r>
          </w:p>
          <w:p w:rsidR="004A0236" w:rsidRPr="00B17F07" w:rsidRDefault="00311130" w:rsidP="004A0236">
            <w:r w:rsidRPr="00B17F07">
              <w:t>Termo do acordo internacional aprovado pelo Congresso Nacional</w:t>
            </w:r>
          </w:p>
        </w:tc>
        <w:tc>
          <w:tcPr>
            <w:tcW w:w="1982" w:type="pct"/>
          </w:tcPr>
          <w:p w:rsidR="005D69E3" w:rsidRPr="00B17F07" w:rsidRDefault="009130ED" w:rsidP="009247C4">
            <w:pPr>
              <w:jc w:val="both"/>
              <w:rPr>
                <w:b/>
              </w:rPr>
            </w:pPr>
            <w:r w:rsidRPr="00B17F07">
              <w:rPr>
                <w:b/>
              </w:rPr>
              <w:t>M</w:t>
            </w:r>
            <w:r w:rsidR="00944F98" w:rsidRPr="00B17F07">
              <w:rPr>
                <w:b/>
              </w:rPr>
              <w:t>otivação da dispensa de licitação</w:t>
            </w:r>
          </w:p>
          <w:p w:rsidR="005D69E3" w:rsidRPr="00B17F07" w:rsidRDefault="00944F98" w:rsidP="009247C4">
            <w:pPr>
              <w:jc w:val="both"/>
              <w:rPr>
                <w:snapToGrid w:val="0"/>
              </w:rPr>
            </w:pPr>
            <w:r w:rsidRPr="00B17F07">
              <w:t>2.1. A</w:t>
            </w:r>
            <w:r w:rsidR="005D69E3" w:rsidRPr="00B17F07">
              <w:t xml:space="preserve">valiar, com base na motivação expressa para a realização da aquisição ou na caracterização do objeto, os fundamentos lançados para sustentar a contratação direta por dispensa de licitação. Para tanto, solicitar os processos e verificar </w:t>
            </w:r>
            <w:r w:rsidR="005D69E3" w:rsidRPr="00B17F07">
              <w:rPr>
                <w:snapToGrid w:val="0"/>
              </w:rPr>
              <w:t>se os fundamentos jurídicos expostos sustentam a contratação analisada, comparando-os com o disposto n</w:t>
            </w:r>
            <w:r w:rsidRPr="00B17F07">
              <w:rPr>
                <w:snapToGrid w:val="0"/>
              </w:rPr>
              <w:t xml:space="preserve">o art. 24 da Lei 8.666/93. </w:t>
            </w:r>
          </w:p>
          <w:p w:rsidR="00D23A11" w:rsidRPr="00B17F07" w:rsidRDefault="00D23A11" w:rsidP="009247C4">
            <w:pPr>
              <w:widowControl w:val="0"/>
              <w:jc w:val="both"/>
              <w:rPr>
                <w:b/>
                <w:snapToGrid w:val="0"/>
              </w:rPr>
            </w:pPr>
            <w:r w:rsidRPr="00B17F07">
              <w:rPr>
                <w:b/>
                <w:snapToGrid w:val="0"/>
              </w:rPr>
              <w:t xml:space="preserve">Pertinência da dispensa com base em emergência </w:t>
            </w:r>
          </w:p>
          <w:p w:rsidR="00D23A11" w:rsidRPr="00B17F07" w:rsidRDefault="00D23A11" w:rsidP="009247C4">
            <w:pPr>
              <w:widowControl w:val="0"/>
              <w:jc w:val="both"/>
              <w:rPr>
                <w:snapToGrid w:val="0"/>
              </w:rPr>
            </w:pPr>
            <w:r w:rsidRPr="00B17F07">
              <w:rPr>
                <w:snapToGrid w:val="0"/>
              </w:rPr>
              <w:t>2.2. No caso de emergência e/ou calamidade pública (inciso IV), identificar, no processo de dispensa, o decreto que declarou essa situação</w:t>
            </w:r>
            <w:r w:rsidR="000437F3" w:rsidRPr="00B17F07">
              <w:rPr>
                <w:snapToGrid w:val="0"/>
              </w:rPr>
              <w:t>.</w:t>
            </w:r>
          </w:p>
          <w:p w:rsidR="00D23A11" w:rsidRPr="00B17F07" w:rsidRDefault="00D23A11" w:rsidP="009247C4">
            <w:pPr>
              <w:widowControl w:val="0"/>
              <w:jc w:val="both"/>
            </w:pPr>
            <w:r w:rsidRPr="00B17F07">
              <w:rPr>
                <w:snapToGrid w:val="0"/>
              </w:rPr>
              <w:t xml:space="preserve">2.2.1. </w:t>
            </w:r>
            <w:r w:rsidRPr="00B17F07">
              <w:t>Verificar se os requisitos necessários à caracterização dos casos de emergência ou de calamidade pública foram atendidos (Decisão 347/1994-</w:t>
            </w:r>
            <w:proofErr w:type="spellStart"/>
            <w:r w:rsidRPr="00B17F07">
              <w:t>TCU-Plenário</w:t>
            </w:r>
            <w:proofErr w:type="spellEnd"/>
            <w:r w:rsidRPr="00B17F07">
              <w:t>):</w:t>
            </w:r>
          </w:p>
          <w:p w:rsidR="00D23A11" w:rsidRPr="00B17F07" w:rsidRDefault="00D23A11" w:rsidP="009247C4">
            <w:pPr>
              <w:jc w:val="both"/>
            </w:pPr>
            <w:r w:rsidRPr="00B17F07">
              <w:t>a) a situação adversa, dada como de emergência ou de calamidade pública, não se tenha originado, total ou parcialmente, da falta de planejamento, da desídia administrativa ou da má gestão dos recursos disponíveis, ou seja, que ela não possa, em alguma medida, ser atribuída à culpa ou dolo do agente público que tinha o dever de agir para prevenir a ocorrência de tal situação;</w:t>
            </w:r>
          </w:p>
          <w:p w:rsidR="005D69E3" w:rsidRPr="00B17F07" w:rsidRDefault="009247C4" w:rsidP="009247C4">
            <w:pPr>
              <w:widowControl w:val="0"/>
              <w:jc w:val="both"/>
              <w:rPr>
                <w:snapToGrid w:val="0"/>
              </w:rPr>
            </w:pPr>
            <w:r w:rsidRPr="00B17F07">
              <w:rPr>
                <w:b/>
              </w:rPr>
              <w:t>Continua...</w:t>
            </w:r>
          </w:p>
        </w:tc>
        <w:tc>
          <w:tcPr>
            <w:tcW w:w="788" w:type="pct"/>
          </w:tcPr>
          <w:p w:rsidR="005D69E3" w:rsidRPr="00B17F07" w:rsidRDefault="002F3C74" w:rsidP="00461311">
            <w:pPr>
              <w:widowControl w:val="0"/>
              <w:rPr>
                <w:snapToGrid w:val="0"/>
              </w:rPr>
            </w:pPr>
            <w:r w:rsidRPr="00B17F07">
              <w:rPr>
                <w:snapToGrid w:val="0"/>
              </w:rPr>
              <w:t>A</w:t>
            </w:r>
            <w:r w:rsidR="00351D50" w:rsidRPr="00B17F07">
              <w:rPr>
                <w:snapToGrid w:val="0"/>
              </w:rPr>
              <w:t>3</w:t>
            </w:r>
            <w:r w:rsidR="00835516" w:rsidRPr="00B17F07">
              <w:rPr>
                <w:snapToGrid w:val="0"/>
              </w:rPr>
              <w:t xml:space="preserve"> -</w:t>
            </w:r>
            <w:proofErr w:type="gramStart"/>
            <w:r w:rsidR="00835516" w:rsidRPr="00B17F07">
              <w:rPr>
                <w:snapToGrid w:val="0"/>
              </w:rPr>
              <w:t xml:space="preserve"> </w:t>
            </w:r>
            <w:r w:rsidRPr="00B17F07">
              <w:rPr>
                <w:snapToGrid w:val="0"/>
              </w:rPr>
              <w:t xml:space="preserve"> </w:t>
            </w:r>
            <w:proofErr w:type="gramEnd"/>
            <w:r w:rsidR="005D69E3" w:rsidRPr="00B17F07">
              <w:rPr>
                <w:snapToGrid w:val="0"/>
              </w:rPr>
              <w:t xml:space="preserve">Contratações diretas </w:t>
            </w:r>
            <w:r w:rsidR="00652682">
              <w:rPr>
                <w:snapToGrid w:val="0"/>
              </w:rPr>
              <w:t>(</w:t>
            </w:r>
            <w:r w:rsidR="00652682" w:rsidRPr="00B17F07">
              <w:rPr>
                <w:snapToGrid w:val="0"/>
                <w:color w:val="000000"/>
              </w:rPr>
              <w:t>por dispensa de licitação</w:t>
            </w:r>
            <w:r w:rsidR="00652682">
              <w:rPr>
                <w:snapToGrid w:val="0"/>
                <w:color w:val="000000"/>
              </w:rPr>
              <w:t>)</w:t>
            </w:r>
            <w:r w:rsidR="00652682" w:rsidRPr="00B17F07">
              <w:rPr>
                <w:snapToGrid w:val="0"/>
              </w:rPr>
              <w:t xml:space="preserve"> </w:t>
            </w:r>
            <w:r w:rsidR="005D69E3" w:rsidRPr="00B17F07">
              <w:rPr>
                <w:snapToGrid w:val="0"/>
              </w:rPr>
              <w:t>não justificadas ou indevidamente fundamentadas</w:t>
            </w:r>
            <w:r w:rsidR="00AB4C0E" w:rsidRPr="00B17F07">
              <w:rPr>
                <w:snapToGrid w:val="0"/>
              </w:rPr>
              <w:t>.</w:t>
            </w:r>
          </w:p>
          <w:p w:rsidR="005D69E3" w:rsidRPr="00B17F07" w:rsidRDefault="002F3C74" w:rsidP="00351D50">
            <w:pPr>
              <w:rPr>
                <w:snapToGrid w:val="0"/>
                <w:color w:val="000000"/>
              </w:rPr>
            </w:pPr>
            <w:r w:rsidRPr="00B17F07">
              <w:rPr>
                <w:snapToGrid w:val="0"/>
                <w:color w:val="000000"/>
              </w:rPr>
              <w:t>A</w:t>
            </w:r>
            <w:r w:rsidR="00351D50" w:rsidRPr="00B17F07">
              <w:rPr>
                <w:snapToGrid w:val="0"/>
                <w:color w:val="000000"/>
              </w:rPr>
              <w:t>4</w:t>
            </w:r>
            <w:proofErr w:type="gramStart"/>
            <w:r w:rsidRPr="00B17F07">
              <w:rPr>
                <w:snapToGrid w:val="0"/>
                <w:color w:val="000000"/>
              </w:rPr>
              <w:t xml:space="preserve"> </w:t>
            </w:r>
            <w:r w:rsidR="00835516" w:rsidRPr="00B17F07">
              <w:rPr>
                <w:snapToGrid w:val="0"/>
                <w:color w:val="000000"/>
              </w:rPr>
              <w:t xml:space="preserve"> </w:t>
            </w:r>
            <w:proofErr w:type="gramEnd"/>
            <w:r w:rsidR="00835516" w:rsidRPr="00B17F07">
              <w:rPr>
                <w:snapToGrid w:val="0"/>
                <w:color w:val="000000"/>
              </w:rPr>
              <w:t xml:space="preserve">- </w:t>
            </w:r>
            <w:r w:rsidR="005D69E3" w:rsidRPr="00B17F07">
              <w:rPr>
                <w:snapToGrid w:val="0"/>
                <w:color w:val="000000"/>
              </w:rPr>
              <w:t>Contratação irregular por dispensa de licitação</w:t>
            </w:r>
            <w:r w:rsidR="00AB4C0E" w:rsidRPr="00B17F07">
              <w:rPr>
                <w:snapToGrid w:val="0"/>
                <w:color w:val="000000"/>
              </w:rPr>
              <w:t>.</w:t>
            </w:r>
          </w:p>
          <w:p w:rsidR="004A0236" w:rsidRPr="00B17F07" w:rsidRDefault="00B7266C" w:rsidP="00351D50">
            <w:r w:rsidRPr="00B17F07">
              <w:t>A5</w:t>
            </w:r>
            <w:r w:rsidR="00835516" w:rsidRPr="00B17F07">
              <w:t xml:space="preserve"> -</w:t>
            </w:r>
            <w:proofErr w:type="gramStart"/>
            <w:r w:rsidR="00835516" w:rsidRPr="00B17F07">
              <w:t xml:space="preserve"> </w:t>
            </w:r>
            <w:r w:rsidRPr="00B17F07">
              <w:t xml:space="preserve"> </w:t>
            </w:r>
            <w:proofErr w:type="gramEnd"/>
            <w:r w:rsidR="004A0236" w:rsidRPr="00B17F07">
              <w:t>Contratação por tempo superior ao previsto no art. 24, inciso IV da Lei 8.666/93 ou prorrogação irregular dos contratos.</w:t>
            </w:r>
            <w:r w:rsidR="00797623" w:rsidRPr="00B17F07">
              <w:t xml:space="preserve"> (2.2)</w:t>
            </w:r>
          </w:p>
          <w:p w:rsidR="00351D50" w:rsidRPr="00B17F07" w:rsidRDefault="00B7266C" w:rsidP="00351D50">
            <w:pPr>
              <w:rPr>
                <w:snapToGrid w:val="0"/>
                <w:color w:val="000000"/>
                <w:highlight w:val="yellow"/>
              </w:rPr>
            </w:pPr>
            <w:r w:rsidRPr="00B17F07">
              <w:t xml:space="preserve">A6 </w:t>
            </w:r>
            <w:r w:rsidR="00835516" w:rsidRPr="00B17F07">
              <w:t xml:space="preserve">- </w:t>
            </w:r>
            <w:r w:rsidR="004A0236" w:rsidRPr="00B17F07">
              <w:t>Subcontratação indevida do objeto.</w:t>
            </w:r>
            <w:r w:rsidR="00797623" w:rsidRPr="00B17F07">
              <w:t xml:space="preserve"> (2.4)</w:t>
            </w:r>
          </w:p>
        </w:tc>
      </w:tr>
      <w:tr w:rsidR="009247C4" w:rsidRPr="00B17F07" w:rsidTr="005D69E3">
        <w:trPr>
          <w:cantSplit/>
          <w:trHeight w:val="1283"/>
        </w:trPr>
        <w:tc>
          <w:tcPr>
            <w:tcW w:w="706" w:type="pct"/>
          </w:tcPr>
          <w:p w:rsidR="009247C4" w:rsidRPr="00B17F07" w:rsidRDefault="009247C4" w:rsidP="00351D50"/>
        </w:tc>
        <w:tc>
          <w:tcPr>
            <w:tcW w:w="713" w:type="pct"/>
          </w:tcPr>
          <w:p w:rsidR="009247C4" w:rsidRPr="00B17F07" w:rsidRDefault="009247C4" w:rsidP="009247C4">
            <w:pPr>
              <w:widowControl w:val="0"/>
              <w:rPr>
                <w:snapToGrid w:val="0"/>
              </w:rPr>
            </w:pPr>
            <w:r w:rsidRPr="00B17F07">
              <w:t xml:space="preserve">Reputação da instituição </w:t>
            </w:r>
            <w:r w:rsidRPr="00B17F07">
              <w:rPr>
                <w:snapToGrid w:val="0"/>
              </w:rPr>
              <w:t xml:space="preserve">brasileira </w:t>
            </w:r>
            <w:r w:rsidRPr="00B17F07">
              <w:t>incumbida regimental ou estatutariamente da pesquisa, do ensino ou do desenvolvimento institucional</w:t>
            </w:r>
            <w:r w:rsidRPr="00B17F07">
              <w:rPr>
                <w:snapToGrid w:val="0"/>
              </w:rPr>
              <w:t>.</w:t>
            </w:r>
            <w:r w:rsidR="00943205" w:rsidRPr="00B17F07">
              <w:rPr>
                <w:snapToGrid w:val="0"/>
              </w:rPr>
              <w:t xml:space="preserve"> (2.4)</w:t>
            </w:r>
          </w:p>
          <w:p w:rsidR="009247C4" w:rsidRPr="00B17F07" w:rsidRDefault="009247C4" w:rsidP="009247C4">
            <w:r w:rsidRPr="00B17F07">
              <w:t>Atividades que podem ser desempenhadas pela instituição brasileira incumbida regimental ou estatutariamente da pesquisa, do ensino ou do desenvolvimento institucional.</w:t>
            </w:r>
            <w:r w:rsidR="00943205" w:rsidRPr="00B17F07">
              <w:t xml:space="preserve"> </w:t>
            </w:r>
            <w:r w:rsidR="00943205" w:rsidRPr="00B17F07">
              <w:rPr>
                <w:snapToGrid w:val="0"/>
              </w:rPr>
              <w:t>(2.4)</w:t>
            </w:r>
          </w:p>
          <w:p w:rsidR="009247C4" w:rsidRPr="00B17F07" w:rsidRDefault="009247C4" w:rsidP="009247C4">
            <w:r w:rsidRPr="00B17F07">
              <w:t>Descrição do objeto a ser contratado com base na dispensa de licitação prevista no art. 24, inc</w:t>
            </w:r>
            <w:r w:rsidR="005B1A1C" w:rsidRPr="00B17F07">
              <w:t>iso</w:t>
            </w:r>
            <w:r w:rsidRPr="00B17F07">
              <w:t xml:space="preserve"> XIII.</w:t>
            </w:r>
            <w:r w:rsidR="00943205" w:rsidRPr="00B17F07">
              <w:t xml:space="preserve"> </w:t>
            </w:r>
            <w:r w:rsidR="00943205" w:rsidRPr="00B17F07">
              <w:rPr>
                <w:snapToGrid w:val="0"/>
              </w:rPr>
              <w:t>(2.4)</w:t>
            </w:r>
          </w:p>
          <w:p w:rsidR="00311130" w:rsidRPr="00B17F07" w:rsidRDefault="00311130" w:rsidP="009247C4">
            <w:r w:rsidRPr="00B17F07">
              <w:t>Cláusulas do contrato de gestão</w:t>
            </w:r>
            <w:r w:rsidR="005B1A1C" w:rsidRPr="00B17F07">
              <w:t>, consórcio público ou convênio</w:t>
            </w:r>
            <w:r w:rsidR="00943205" w:rsidRPr="00B17F07">
              <w:t xml:space="preserve"> (2.7 e 2.8</w:t>
            </w:r>
            <w:proofErr w:type="gramStart"/>
            <w:r w:rsidR="00943205" w:rsidRPr="00B17F07">
              <w:t>)</w:t>
            </w:r>
            <w:proofErr w:type="gramEnd"/>
          </w:p>
          <w:p w:rsidR="00943205" w:rsidRPr="00B17F07" w:rsidRDefault="00943205" w:rsidP="00943205">
            <w:pPr>
              <w:widowControl w:val="0"/>
            </w:pPr>
            <w:r w:rsidRPr="00B17F07">
              <w:t>Informações sobre o órgão ou entidade contratada com base em dispensa de licitação (tais como finalidade, data de criação, idoneidade</w:t>
            </w:r>
            <w:proofErr w:type="gramStart"/>
            <w:r w:rsidRPr="00B17F07">
              <w:t>)</w:t>
            </w:r>
            <w:proofErr w:type="gramEnd"/>
          </w:p>
          <w:p w:rsidR="00311130" w:rsidRPr="00B17F07" w:rsidRDefault="00FF48DE" w:rsidP="009247C4">
            <w:r w:rsidRPr="00B17F07">
              <w:rPr>
                <w:b/>
              </w:rPr>
              <w:t>Continua...</w:t>
            </w:r>
          </w:p>
        </w:tc>
        <w:tc>
          <w:tcPr>
            <w:tcW w:w="811" w:type="pct"/>
          </w:tcPr>
          <w:p w:rsidR="009247C4" w:rsidRPr="00B17F07" w:rsidRDefault="009247C4" w:rsidP="00461311"/>
        </w:tc>
        <w:tc>
          <w:tcPr>
            <w:tcW w:w="1982" w:type="pct"/>
          </w:tcPr>
          <w:p w:rsidR="009247C4" w:rsidRPr="00B17F07" w:rsidRDefault="009247C4" w:rsidP="009247C4">
            <w:pPr>
              <w:jc w:val="both"/>
            </w:pPr>
            <w:r w:rsidRPr="00B17F07">
              <w:t>b) exista urgência concreta e efetiva do atendimento a situação decorrente do estado emergencial ou calamitoso, visando afastar risco de danos a bens ou à saúde ou à vida de pessoas;</w:t>
            </w:r>
          </w:p>
          <w:p w:rsidR="009247C4" w:rsidRPr="00B17F07" w:rsidRDefault="009247C4" w:rsidP="009247C4">
            <w:pPr>
              <w:jc w:val="both"/>
            </w:pPr>
            <w:r w:rsidRPr="00B17F07">
              <w:t>c) o risco, além de concreto e efetivamente provável, se mostre iminente e especialmente gravoso;</w:t>
            </w:r>
          </w:p>
          <w:p w:rsidR="009247C4" w:rsidRPr="00B17F07" w:rsidRDefault="009247C4" w:rsidP="009247C4">
            <w:pPr>
              <w:jc w:val="both"/>
            </w:pPr>
            <w:r w:rsidRPr="00B17F07">
              <w:t>d) a imediata efetivação, por meio de contratação com terceiro, de determinadas obras, serviços ou compras, segundo as especificações e quantitativos tecnicamente apurados, seja o meio adequado, efetivo e eficiente de afastar o risco iminente detectado.</w:t>
            </w:r>
          </w:p>
          <w:p w:rsidR="009247C4" w:rsidRPr="00B17F07" w:rsidRDefault="009247C4" w:rsidP="009247C4">
            <w:pPr>
              <w:widowControl w:val="0"/>
              <w:jc w:val="both"/>
              <w:rPr>
                <w:snapToGrid w:val="0"/>
              </w:rPr>
            </w:pPr>
            <w:r w:rsidRPr="00B17F07">
              <w:rPr>
                <w:snapToGrid w:val="0"/>
              </w:rPr>
              <w:t>2.2.2. Obter evidência que assegure razoável segurança de que a contratação emergencial compreendeu somente os bens necessários ao atendimento da situação emergencial ou calamitosa e para as parcelas de obras e serviços que possam ser concluídas no prazo máximo de 180 dias consecutivos e ininterruptos, contados da ocorrência da emergência ou calamidade, vedada a prorrogação dos respectivos contratos</w:t>
            </w:r>
            <w:r w:rsidR="004920E7" w:rsidRPr="00B17F07">
              <w:t>.</w:t>
            </w:r>
            <w:r w:rsidR="00652682">
              <w:t xml:space="preserve"> </w:t>
            </w:r>
            <w:r w:rsidRPr="00B17F07">
              <w:t>Exemplo: o contrato firmado por noventa dias, não pode ser prorrogado por mais noventa dias, a fim de completar os 180 dias previstos na norma. Pode ser feito novo contrato, mas não prorrogação.</w:t>
            </w:r>
          </w:p>
          <w:p w:rsidR="00155F41" w:rsidRPr="00B17F07" w:rsidRDefault="00155F41" w:rsidP="00943205">
            <w:pPr>
              <w:widowControl w:val="0"/>
              <w:jc w:val="both"/>
              <w:rPr>
                <w:b/>
              </w:rPr>
            </w:pPr>
            <w:r w:rsidRPr="00B17F07">
              <w:rPr>
                <w:b/>
              </w:rPr>
              <w:t>Dispensa com base no comprometimento da segurança nacional</w:t>
            </w:r>
          </w:p>
          <w:p w:rsidR="00155F41" w:rsidRPr="00B17F07" w:rsidRDefault="00155F41" w:rsidP="00943205">
            <w:pPr>
              <w:widowControl w:val="0"/>
              <w:jc w:val="both"/>
              <w:rPr>
                <w:b/>
                <w:snapToGrid w:val="0"/>
              </w:rPr>
            </w:pPr>
            <w:r w:rsidRPr="00B17F07">
              <w:t xml:space="preserve">2.3. No caso de dispensa com base no comprometimento da segurança nacional </w:t>
            </w:r>
            <w:r w:rsidRPr="00B17F07">
              <w:rPr>
                <w:snapToGrid w:val="0"/>
              </w:rPr>
              <w:t>(inciso IX)</w:t>
            </w:r>
            <w:r w:rsidRPr="00B17F07">
              <w:t>, verificar se foi atendido o disposto no Decreto 2.295/1997.</w:t>
            </w:r>
          </w:p>
          <w:p w:rsidR="00155F41" w:rsidRPr="00B17F07" w:rsidRDefault="00155F41" w:rsidP="00943205">
            <w:pPr>
              <w:jc w:val="both"/>
            </w:pPr>
            <w:proofErr w:type="gramStart"/>
            <w:r w:rsidRPr="00B17F07">
              <w:t>2.3.1.</w:t>
            </w:r>
            <w:proofErr w:type="gramEnd"/>
            <w:r w:rsidRPr="00B17F07">
              <w:t>Verificar se as compras e contratações de obras ou serviços foram relativas à:</w:t>
            </w:r>
          </w:p>
          <w:p w:rsidR="00155F41" w:rsidRPr="00B17F07" w:rsidRDefault="00155F41" w:rsidP="00943205">
            <w:pPr>
              <w:jc w:val="both"/>
            </w:pPr>
            <w:r w:rsidRPr="00B17F07">
              <w:t xml:space="preserve">a) aquisição de recursos bélicos navais, terrestres e aeroespaciais; </w:t>
            </w:r>
          </w:p>
          <w:p w:rsidR="00155F41" w:rsidRPr="00B17F07" w:rsidRDefault="00155F41" w:rsidP="00943205">
            <w:pPr>
              <w:jc w:val="both"/>
            </w:pPr>
            <w:r w:rsidRPr="00B17F07">
              <w:t xml:space="preserve">b) contratação de serviços técnicos especializados na área de projetos, pesquisas e desenvolvimento científico e tecnológico; </w:t>
            </w:r>
          </w:p>
          <w:p w:rsidR="00155F41" w:rsidRPr="00B17F07" w:rsidRDefault="00155F41" w:rsidP="00943205">
            <w:pPr>
              <w:jc w:val="both"/>
            </w:pPr>
            <w:r w:rsidRPr="00B17F07">
              <w:t xml:space="preserve">c) aquisição de equipamentos e contratação de serviços técnicos especializados para a área de inteligência. </w:t>
            </w:r>
          </w:p>
          <w:p w:rsidR="009247C4" w:rsidRPr="00B17F07" w:rsidRDefault="00155F41" w:rsidP="009247C4">
            <w:pPr>
              <w:jc w:val="both"/>
              <w:rPr>
                <w:b/>
              </w:rPr>
            </w:pPr>
            <w:r w:rsidRPr="00B17F07">
              <w:rPr>
                <w:b/>
              </w:rPr>
              <w:t>Continua...</w:t>
            </w:r>
          </w:p>
        </w:tc>
        <w:tc>
          <w:tcPr>
            <w:tcW w:w="788" w:type="pct"/>
          </w:tcPr>
          <w:p w:rsidR="009247C4" w:rsidRPr="00B17F07" w:rsidRDefault="009247C4" w:rsidP="00461311">
            <w:pPr>
              <w:widowControl w:val="0"/>
              <w:rPr>
                <w:snapToGrid w:val="0"/>
              </w:rPr>
            </w:pPr>
          </w:p>
        </w:tc>
      </w:tr>
      <w:tr w:rsidR="005D69E3" w:rsidRPr="00B17F07" w:rsidTr="005D69E3">
        <w:trPr>
          <w:cantSplit/>
        </w:trPr>
        <w:tc>
          <w:tcPr>
            <w:tcW w:w="706" w:type="pct"/>
          </w:tcPr>
          <w:p w:rsidR="005D69E3" w:rsidRPr="00B17F07" w:rsidRDefault="00FB6EFF" w:rsidP="00E44A07">
            <w:pPr>
              <w:rPr>
                <w:snapToGrid w:val="0"/>
                <w:color w:val="000000"/>
              </w:rPr>
            </w:pPr>
            <w:r w:rsidRPr="00B17F07">
              <w:rPr>
                <w:snapToGrid w:val="0"/>
                <w:color w:val="000000"/>
              </w:rPr>
              <w:lastRenderedPageBreak/>
              <w:t>Q2. Continuação.</w:t>
            </w:r>
          </w:p>
        </w:tc>
        <w:tc>
          <w:tcPr>
            <w:tcW w:w="713" w:type="pct"/>
          </w:tcPr>
          <w:p w:rsidR="005D69E3" w:rsidRPr="00B17F07" w:rsidRDefault="00311130" w:rsidP="00351D50">
            <w:r w:rsidRPr="00B17F07">
              <w:t>Informações sobre a licitação realizada anteriormente (tais como licitantes participantes, condições previstas no edital, pesquisa de preço, propostas de preços apresentadas e análise correspondente, conteúdo das atas da licitação).</w:t>
            </w:r>
            <w:r w:rsidR="00D95844" w:rsidRPr="00B17F07">
              <w:t xml:space="preserve"> (2.9)</w:t>
            </w:r>
          </w:p>
          <w:p w:rsidR="00311130" w:rsidRPr="00B17F07" w:rsidRDefault="00311130" w:rsidP="00311130">
            <w:pPr>
              <w:jc w:val="both"/>
            </w:pPr>
            <w:r w:rsidRPr="00B17F07">
              <w:t xml:space="preserve">Informações sobre o contrato e sua execução. </w:t>
            </w:r>
            <w:r w:rsidR="00D95844" w:rsidRPr="00B17F07">
              <w:t>(2.10)</w:t>
            </w:r>
          </w:p>
          <w:p w:rsidR="00311130" w:rsidRPr="00B17F07" w:rsidRDefault="00311130" w:rsidP="00311130">
            <w:pPr>
              <w:jc w:val="both"/>
            </w:pPr>
            <w:r w:rsidRPr="00B17F07">
              <w:t xml:space="preserve">Condições do acordo internacional aprovado pelo Congresso Nacional. </w:t>
            </w:r>
            <w:r w:rsidR="00797623" w:rsidRPr="00B17F07">
              <w:t>(2.15)</w:t>
            </w:r>
          </w:p>
          <w:p w:rsidR="00797623" w:rsidRPr="00B17F07" w:rsidRDefault="00311130" w:rsidP="00797623">
            <w:pPr>
              <w:jc w:val="both"/>
            </w:pPr>
            <w:r w:rsidRPr="00B17F07">
              <w:t xml:space="preserve">Certificação sobre a autenticidade das obras de arte e objetos históricos adquiridos. </w:t>
            </w:r>
            <w:r w:rsidR="00797623" w:rsidRPr="00B17F07">
              <w:t>(2.16)</w:t>
            </w:r>
          </w:p>
          <w:p w:rsidR="00311130" w:rsidRPr="00B17F07" w:rsidRDefault="00311130" w:rsidP="00311130">
            <w:pPr>
              <w:jc w:val="both"/>
            </w:pPr>
            <w:r w:rsidRPr="00B17F07">
              <w:t xml:space="preserve">Finalidade do órgão/entidade contratante. </w:t>
            </w:r>
            <w:r w:rsidR="00797623" w:rsidRPr="00B17F07">
              <w:t>(2.16)</w:t>
            </w:r>
          </w:p>
          <w:p w:rsidR="00311130" w:rsidRPr="00B17F07" w:rsidRDefault="00311130" w:rsidP="00311130">
            <w:pPr>
              <w:jc w:val="both"/>
            </w:pPr>
            <w:r w:rsidRPr="00B17F07">
              <w:t xml:space="preserve">Destinação dos bens adquiridos. </w:t>
            </w:r>
            <w:r w:rsidR="00797623" w:rsidRPr="00B17F07">
              <w:t>(2.18)</w:t>
            </w:r>
          </w:p>
          <w:p w:rsidR="00311130" w:rsidRPr="00B17F07" w:rsidRDefault="00311130" w:rsidP="00311130">
            <w:pPr>
              <w:jc w:val="both"/>
            </w:pPr>
            <w:r w:rsidRPr="00B17F07">
              <w:t xml:space="preserve">Fonte dos recursos. </w:t>
            </w:r>
            <w:r w:rsidR="00797623" w:rsidRPr="00B17F07">
              <w:t>(2.18)</w:t>
            </w:r>
          </w:p>
          <w:p w:rsidR="00311130" w:rsidRPr="00B17F07" w:rsidRDefault="00311130" w:rsidP="00351D50">
            <w:pPr>
              <w:rPr>
                <w:highlight w:val="yellow"/>
              </w:rPr>
            </w:pPr>
          </w:p>
        </w:tc>
        <w:tc>
          <w:tcPr>
            <w:tcW w:w="811" w:type="pct"/>
          </w:tcPr>
          <w:p w:rsidR="005D69E3" w:rsidRPr="00B17F07" w:rsidRDefault="005D69E3" w:rsidP="00461311"/>
        </w:tc>
        <w:tc>
          <w:tcPr>
            <w:tcW w:w="1982" w:type="pct"/>
          </w:tcPr>
          <w:p w:rsidR="00D23A11" w:rsidRPr="00B17F07" w:rsidRDefault="00D23A11" w:rsidP="009247C4">
            <w:pPr>
              <w:jc w:val="both"/>
            </w:pPr>
            <w:bookmarkStart w:id="0" w:name="art57i"/>
            <w:bookmarkStart w:id="1" w:name="art57ii."/>
            <w:bookmarkEnd w:id="0"/>
            <w:bookmarkEnd w:id="1"/>
            <w:r w:rsidRPr="00B17F07">
              <w:t>2.3.2. Verificar se outros casos que não os relacionados acima foram submetidos à apreciação do Conselho de Defesa Nacional.</w:t>
            </w:r>
          </w:p>
          <w:p w:rsidR="00D23A11" w:rsidRPr="00B17F07" w:rsidRDefault="00D23A11" w:rsidP="009247C4">
            <w:pPr>
              <w:jc w:val="both"/>
            </w:pPr>
            <w:r w:rsidRPr="00B17F07">
              <w:t xml:space="preserve">2.3.3. Verificar se a dispensa foi ratificada pelo titular da pasta ou órgão que tenha prerrogativa de Ministro de Estado. </w:t>
            </w:r>
          </w:p>
          <w:p w:rsidR="009247C4" w:rsidRPr="00B17F07" w:rsidRDefault="009247C4" w:rsidP="009247C4">
            <w:pPr>
              <w:widowControl w:val="0"/>
              <w:jc w:val="both"/>
              <w:rPr>
                <w:b/>
                <w:snapToGrid w:val="0"/>
              </w:rPr>
            </w:pPr>
            <w:r w:rsidRPr="00B17F07">
              <w:rPr>
                <w:b/>
                <w:snapToGrid w:val="0"/>
              </w:rPr>
              <w:t xml:space="preserve">Regularidade da contratação de instituição </w:t>
            </w:r>
            <w:r w:rsidRPr="00B17F07">
              <w:rPr>
                <w:b/>
              </w:rPr>
              <w:t xml:space="preserve">de pesquisa, ensino ou desenvolvimento </w:t>
            </w:r>
            <w:proofErr w:type="gramStart"/>
            <w:r w:rsidRPr="00B17F07">
              <w:rPr>
                <w:b/>
              </w:rPr>
              <w:t>institucional</w:t>
            </w:r>
            <w:proofErr w:type="gramEnd"/>
          </w:p>
          <w:p w:rsidR="00155F41" w:rsidRPr="00B17F07" w:rsidRDefault="009247C4" w:rsidP="00155F41">
            <w:pPr>
              <w:widowControl w:val="0"/>
              <w:jc w:val="both"/>
              <w:rPr>
                <w:snapToGrid w:val="0"/>
              </w:rPr>
            </w:pPr>
            <w:proofErr w:type="gramStart"/>
            <w:r w:rsidRPr="00B17F07">
              <w:t>2.4.</w:t>
            </w:r>
            <w:proofErr w:type="gramEnd"/>
            <w:r w:rsidRPr="00B17F07">
              <w:t>Verificar a regularidade da contratação de instituição de pesquisa, ensino ou desenvolvimento institucional, ou de instituição dedicada à recuperação social do preso (inciso XIII).</w:t>
            </w:r>
            <w:r w:rsidRPr="00B17F07">
              <w:rPr>
                <w:snapToGrid w:val="0"/>
              </w:rPr>
              <w:t xml:space="preserve"> Avaliar se:</w:t>
            </w:r>
            <w:r w:rsidR="00155F41" w:rsidRPr="00B17F07">
              <w:rPr>
                <w:snapToGrid w:val="0"/>
              </w:rPr>
              <w:t xml:space="preserve"> </w:t>
            </w:r>
          </w:p>
          <w:p w:rsidR="00155F41" w:rsidRPr="00B17F07" w:rsidRDefault="00155F41" w:rsidP="00155F41">
            <w:pPr>
              <w:widowControl w:val="0"/>
              <w:jc w:val="both"/>
              <w:rPr>
                <w:snapToGrid w:val="0"/>
              </w:rPr>
            </w:pPr>
            <w:r w:rsidRPr="00B17F07">
              <w:rPr>
                <w:snapToGrid w:val="0"/>
              </w:rPr>
              <w:t xml:space="preserve">a) a contratada detém inquestionável reputação ético-profissional </w:t>
            </w:r>
            <w:r w:rsidRPr="00B17F07">
              <w:t>e não tem fins lucrativos;</w:t>
            </w:r>
            <w:r w:rsidRPr="00B17F07">
              <w:rPr>
                <w:snapToGrid w:val="0"/>
              </w:rPr>
              <w:t xml:space="preserve"> </w:t>
            </w:r>
          </w:p>
          <w:p w:rsidR="00155F41" w:rsidRPr="00B17F07" w:rsidRDefault="00155F41" w:rsidP="00155F41">
            <w:pPr>
              <w:widowControl w:val="0"/>
              <w:jc w:val="both"/>
              <w:rPr>
                <w:snapToGrid w:val="0"/>
              </w:rPr>
            </w:pPr>
            <w:r w:rsidRPr="00B17F07">
              <w:rPr>
                <w:snapToGrid w:val="0"/>
              </w:rPr>
              <w:t xml:space="preserve">b) há nexo causal entre a natureza da instituição e o objeto contratado com esta; </w:t>
            </w:r>
            <w:proofErr w:type="gramStart"/>
            <w:r w:rsidRPr="00B17F07">
              <w:rPr>
                <w:snapToGrid w:val="0"/>
              </w:rPr>
              <w:t>e</w:t>
            </w:r>
            <w:proofErr w:type="gramEnd"/>
          </w:p>
          <w:p w:rsidR="00155F41" w:rsidRPr="00B17F07" w:rsidRDefault="00155F41" w:rsidP="00155F41">
            <w:pPr>
              <w:widowControl w:val="0"/>
              <w:jc w:val="both"/>
              <w:rPr>
                <w:snapToGrid w:val="0"/>
              </w:rPr>
            </w:pPr>
            <w:r w:rsidRPr="00B17F07">
              <w:rPr>
                <w:snapToGrid w:val="0"/>
              </w:rPr>
              <w:t xml:space="preserve">c) o objeto do contrato está diretamente relacionado à pesquisa, ao ensino e extensão e ao desenvolvimento institucional. </w:t>
            </w:r>
          </w:p>
          <w:p w:rsidR="00155F41" w:rsidRPr="00B17F07" w:rsidRDefault="00155F41" w:rsidP="00155F41">
            <w:pPr>
              <w:jc w:val="both"/>
            </w:pPr>
            <w:r w:rsidRPr="00B17F07">
              <w:rPr>
                <w:snapToGrid w:val="0"/>
              </w:rPr>
              <w:t xml:space="preserve">2.4.1. </w:t>
            </w:r>
            <w:r w:rsidRPr="00B17F07">
              <w:t xml:space="preserve">Verificar se o contratado executou diretamente o objeto avençado, vedada </w:t>
            </w:r>
            <w:proofErr w:type="gramStart"/>
            <w:r w:rsidRPr="00B17F07">
              <w:t>a</w:t>
            </w:r>
            <w:proofErr w:type="gramEnd"/>
            <w:r w:rsidRPr="00B17F07">
              <w:t xml:space="preserve"> subcontratação. </w:t>
            </w:r>
          </w:p>
          <w:p w:rsidR="00155F41" w:rsidRPr="00B17F07" w:rsidRDefault="00155F41" w:rsidP="00155F41">
            <w:pPr>
              <w:widowControl w:val="0"/>
              <w:jc w:val="both"/>
              <w:rPr>
                <w:snapToGrid w:val="0"/>
              </w:rPr>
            </w:pPr>
            <w:r w:rsidRPr="00B17F07">
              <w:rPr>
                <w:snapToGrid w:val="0"/>
              </w:rPr>
              <w:t xml:space="preserve">2.4.2. No caso de contratação de fundação de apoio, verificar se a contratação destinou-se a obter mão de obra para funções específicas de cargos públicos, de atividades continuadas e de objeto genérico, desvinculado de projeto específico, bem como para atividades de manutenção da instituição pública contratante, situações essas consideradas irregulares. </w:t>
            </w:r>
          </w:p>
          <w:p w:rsidR="00155F41" w:rsidRPr="00B17F07" w:rsidRDefault="00155F41" w:rsidP="00155F41">
            <w:pPr>
              <w:widowControl w:val="0"/>
              <w:jc w:val="both"/>
            </w:pPr>
            <w:r w:rsidRPr="00B17F07">
              <w:rPr>
                <w:snapToGrid w:val="0"/>
              </w:rPr>
              <w:t>Atenção</w:t>
            </w:r>
            <w:r w:rsidRPr="00B17F07">
              <w:t>: Segundo a jurisprudência consolidada desta Corte de Contas, a contratação de tais fundações de apoio não pode ser realizada para viabilizar a transferência das atividades típicas da Universidade, a exemplo das Decisões 30/2002 e 655/2002 e dos Acórdãos 1646/2002, 328/2005, 1516/2005 e 714/2008, todos do Plenário.</w:t>
            </w:r>
          </w:p>
          <w:p w:rsidR="00FF48DE" w:rsidRPr="00B17F07" w:rsidRDefault="00FF48DE" w:rsidP="00FF48DE">
            <w:pPr>
              <w:widowControl w:val="0"/>
              <w:rPr>
                <w:snapToGrid w:val="0"/>
              </w:rPr>
            </w:pPr>
            <w:r w:rsidRPr="00B17F07">
              <w:rPr>
                <w:b/>
              </w:rPr>
              <w:t>Continua...</w:t>
            </w:r>
          </w:p>
          <w:p w:rsidR="005D69E3" w:rsidRPr="00B17F07" w:rsidRDefault="005D69E3" w:rsidP="009247C4">
            <w:pPr>
              <w:widowControl w:val="0"/>
              <w:jc w:val="both"/>
              <w:rPr>
                <w:b/>
                <w:snapToGrid w:val="0"/>
              </w:rPr>
            </w:pPr>
          </w:p>
        </w:tc>
        <w:tc>
          <w:tcPr>
            <w:tcW w:w="788" w:type="pct"/>
          </w:tcPr>
          <w:p w:rsidR="005D69E3" w:rsidRPr="00B17F07" w:rsidRDefault="005D69E3" w:rsidP="00461311">
            <w:pPr>
              <w:rPr>
                <w:snapToGrid w:val="0"/>
                <w:color w:val="000000"/>
              </w:rPr>
            </w:pPr>
          </w:p>
        </w:tc>
      </w:tr>
      <w:tr w:rsidR="00E44A07" w:rsidRPr="00B17F07" w:rsidTr="005D69E3">
        <w:trPr>
          <w:cantSplit/>
        </w:trPr>
        <w:tc>
          <w:tcPr>
            <w:tcW w:w="706" w:type="pct"/>
          </w:tcPr>
          <w:p w:rsidR="00E44A07" w:rsidRPr="00B17F07" w:rsidRDefault="00E44A07" w:rsidP="00CB7C97">
            <w:pPr>
              <w:rPr>
                <w:snapToGrid w:val="0"/>
                <w:color w:val="000000"/>
              </w:rPr>
            </w:pPr>
            <w:r w:rsidRPr="00B17F07">
              <w:rPr>
                <w:snapToGrid w:val="0"/>
                <w:color w:val="000000"/>
              </w:rPr>
              <w:lastRenderedPageBreak/>
              <w:t>Q2. Continuação.</w:t>
            </w:r>
          </w:p>
        </w:tc>
        <w:tc>
          <w:tcPr>
            <w:tcW w:w="713" w:type="pct"/>
          </w:tcPr>
          <w:p w:rsidR="00E44A07" w:rsidRPr="00B17F07" w:rsidRDefault="00E44A07" w:rsidP="00461311">
            <w:pPr>
              <w:rPr>
                <w:highlight w:val="yellow"/>
              </w:rPr>
            </w:pPr>
          </w:p>
        </w:tc>
        <w:tc>
          <w:tcPr>
            <w:tcW w:w="811" w:type="pct"/>
          </w:tcPr>
          <w:p w:rsidR="00E44A07" w:rsidRPr="00B17F07" w:rsidRDefault="00E44A07" w:rsidP="00FF48DE">
            <w:pPr>
              <w:widowControl w:val="0"/>
            </w:pPr>
          </w:p>
        </w:tc>
        <w:tc>
          <w:tcPr>
            <w:tcW w:w="1982" w:type="pct"/>
          </w:tcPr>
          <w:p w:rsidR="00D4346A" w:rsidRPr="00B17F07" w:rsidRDefault="00D4346A" w:rsidP="00943205">
            <w:pPr>
              <w:jc w:val="both"/>
              <w:rPr>
                <w:b/>
              </w:rPr>
            </w:pPr>
            <w:r w:rsidRPr="00B17F07">
              <w:rPr>
                <w:b/>
              </w:rPr>
              <w:t>Regularidade de outras hipóteses de dispensas</w:t>
            </w:r>
          </w:p>
          <w:p w:rsidR="00D4346A" w:rsidRPr="00B17F07" w:rsidRDefault="00D4346A" w:rsidP="00943205">
            <w:pPr>
              <w:jc w:val="both"/>
            </w:pPr>
            <w:r w:rsidRPr="00B17F07">
              <w:t xml:space="preserve">2.5. No caso de dispensa para a impressão dos diários oficiais, de formulários padronizados de uso da administração, e de edições técnicas oficiais, bem como para prestação de serviços de informática, por órgãos ou entidades que integrem a Administração Pública, verificar se eles foram criados para esse fim específico (inciso XVI). </w:t>
            </w:r>
          </w:p>
          <w:p w:rsidR="00D4346A" w:rsidRPr="00B17F07" w:rsidRDefault="00D4346A" w:rsidP="00943205">
            <w:pPr>
              <w:jc w:val="both"/>
            </w:pPr>
            <w:r w:rsidRPr="00B17F07">
              <w:t>2.6. Na contratação de associação de portadores de deficiência física para a prestação de serviços ou fornecimento de mão de obra, verificar se a associação é de comprovada idoneidade e não tem fins lucrativos (inciso XX).</w:t>
            </w:r>
          </w:p>
          <w:p w:rsidR="00D4346A" w:rsidRPr="00B17F07" w:rsidRDefault="00D4346A" w:rsidP="00943205">
            <w:pPr>
              <w:jc w:val="both"/>
            </w:pPr>
            <w:r w:rsidRPr="00B17F07">
              <w:t xml:space="preserve">2.7. Na celebração de contratos de prestação de serviços com as organizações sociais, qualificadas no âmbito das respectivas esferas de governo, verificar se os serviços estão relacionados às atividades contempladas no contrato de gestão (inciso XXIV). </w:t>
            </w:r>
          </w:p>
          <w:p w:rsidR="009247C4" w:rsidRPr="00B17F07" w:rsidRDefault="00D4346A" w:rsidP="00943205">
            <w:pPr>
              <w:widowControl w:val="0"/>
              <w:jc w:val="both"/>
            </w:pPr>
            <w:r w:rsidRPr="00B17F07">
              <w:t>2.8. Na celebração de contrato de programa com ente da Federação ou com entidade de sua administração indireta, para a prestação de serviços públicos de forma associada, verificar se a prestação está nos termos do autorizado em contrato de consórcio público ou em convênio de cooperação (inciso XXVI).</w:t>
            </w:r>
          </w:p>
          <w:p w:rsidR="00D4346A" w:rsidRPr="00B17F07" w:rsidRDefault="00D4346A" w:rsidP="00943205">
            <w:pPr>
              <w:spacing w:after="0"/>
              <w:jc w:val="both"/>
            </w:pPr>
            <w:r w:rsidRPr="00B17F07">
              <w:t xml:space="preserve">2.9. No caso de licitação deserta (inciso V), verificar se: </w:t>
            </w:r>
          </w:p>
          <w:p w:rsidR="00D4346A" w:rsidRPr="00B17F07" w:rsidRDefault="00943205" w:rsidP="00943205">
            <w:pPr>
              <w:spacing w:after="0"/>
              <w:jc w:val="both"/>
            </w:pPr>
            <w:r w:rsidRPr="00B17F07">
              <w:t>a)</w:t>
            </w:r>
            <w:r w:rsidR="00D4346A" w:rsidRPr="00B17F07">
              <w:t xml:space="preserve"> foi realizada licitação anterior e não acudiram interessados;</w:t>
            </w:r>
          </w:p>
          <w:p w:rsidR="00D4346A" w:rsidRPr="00B17F07" w:rsidRDefault="00943205" w:rsidP="00943205">
            <w:pPr>
              <w:spacing w:after="0"/>
              <w:jc w:val="both"/>
            </w:pPr>
            <w:r w:rsidRPr="00B17F07">
              <w:t>b)</w:t>
            </w:r>
            <w:r w:rsidR="00D4346A" w:rsidRPr="00B17F07">
              <w:t xml:space="preserve"> há justificativa sobre a impossibilidade de repetir a licitação sem risco de prejuízo para a Administração;</w:t>
            </w:r>
          </w:p>
          <w:p w:rsidR="00D4346A" w:rsidRPr="00B17F07" w:rsidRDefault="00943205" w:rsidP="00943205">
            <w:pPr>
              <w:spacing w:after="0"/>
              <w:jc w:val="both"/>
            </w:pPr>
            <w:r w:rsidRPr="00B17F07">
              <w:t>c)</w:t>
            </w:r>
            <w:r w:rsidR="00D4346A" w:rsidRPr="00B17F07">
              <w:t xml:space="preserve"> foram mantidas as condições ofertadas no ato convocatório anterior.</w:t>
            </w:r>
          </w:p>
          <w:p w:rsidR="00D4346A" w:rsidRPr="00B17F07" w:rsidRDefault="00D4346A" w:rsidP="00943205">
            <w:pPr>
              <w:spacing w:after="0"/>
              <w:jc w:val="both"/>
            </w:pPr>
          </w:p>
          <w:p w:rsidR="00D4346A" w:rsidRPr="00B17F07" w:rsidRDefault="00D4346A" w:rsidP="00943205">
            <w:pPr>
              <w:spacing w:after="0"/>
              <w:jc w:val="both"/>
            </w:pPr>
            <w:r w:rsidRPr="00B17F07">
              <w:t xml:space="preserve">2.10. No caso da dispensa com base no inciso </w:t>
            </w:r>
            <w:proofErr w:type="gramStart"/>
            <w:r w:rsidRPr="00B17F07">
              <w:t>VI,</w:t>
            </w:r>
            <w:proofErr w:type="gramEnd"/>
            <w:r w:rsidRPr="00B17F07">
              <w:t xml:space="preserve"> verificar se há justificativa sobre a necessidade de a União intervir no domínio econômico para regular preços ou normalizar o abastecimento. </w:t>
            </w:r>
          </w:p>
          <w:p w:rsidR="00D4346A" w:rsidRPr="00B17F07" w:rsidRDefault="00FF48DE" w:rsidP="00FF48DE">
            <w:pPr>
              <w:widowControl w:val="0"/>
              <w:rPr>
                <w:snapToGrid w:val="0"/>
              </w:rPr>
            </w:pPr>
            <w:r w:rsidRPr="00B17F07">
              <w:rPr>
                <w:b/>
              </w:rPr>
              <w:t>Continua...</w:t>
            </w:r>
          </w:p>
        </w:tc>
        <w:tc>
          <w:tcPr>
            <w:tcW w:w="788" w:type="pct"/>
          </w:tcPr>
          <w:p w:rsidR="00E44A07" w:rsidRPr="00B17F07" w:rsidRDefault="00E44A07" w:rsidP="00461311">
            <w:pPr>
              <w:rPr>
                <w:snapToGrid w:val="0"/>
                <w:color w:val="000000"/>
              </w:rPr>
            </w:pPr>
          </w:p>
        </w:tc>
      </w:tr>
      <w:tr w:rsidR="00E44A07" w:rsidRPr="00B17F07" w:rsidTr="005D69E3">
        <w:trPr>
          <w:cantSplit/>
        </w:trPr>
        <w:tc>
          <w:tcPr>
            <w:tcW w:w="706" w:type="pct"/>
          </w:tcPr>
          <w:p w:rsidR="00E44A07" w:rsidRPr="00B17F07" w:rsidRDefault="00E44A07" w:rsidP="00CB7C97">
            <w:pPr>
              <w:rPr>
                <w:snapToGrid w:val="0"/>
                <w:color w:val="000000"/>
              </w:rPr>
            </w:pPr>
            <w:r w:rsidRPr="00B17F07">
              <w:rPr>
                <w:snapToGrid w:val="0"/>
                <w:color w:val="000000"/>
              </w:rPr>
              <w:lastRenderedPageBreak/>
              <w:t>Q2. Continuação.</w:t>
            </w:r>
          </w:p>
        </w:tc>
        <w:tc>
          <w:tcPr>
            <w:tcW w:w="713" w:type="pct"/>
          </w:tcPr>
          <w:p w:rsidR="00E44A07" w:rsidRPr="00B17F07" w:rsidRDefault="00E44A07" w:rsidP="00461311">
            <w:pPr>
              <w:rPr>
                <w:highlight w:val="yellow"/>
              </w:rPr>
            </w:pPr>
          </w:p>
        </w:tc>
        <w:tc>
          <w:tcPr>
            <w:tcW w:w="811" w:type="pct"/>
          </w:tcPr>
          <w:p w:rsidR="00E44A07" w:rsidRPr="00B17F07" w:rsidRDefault="00E44A07" w:rsidP="00461311"/>
        </w:tc>
        <w:tc>
          <w:tcPr>
            <w:tcW w:w="1982" w:type="pct"/>
          </w:tcPr>
          <w:p w:rsidR="00D4346A" w:rsidRPr="00B17F07" w:rsidRDefault="00D4346A" w:rsidP="00943205">
            <w:pPr>
              <w:spacing w:after="0"/>
              <w:jc w:val="both"/>
            </w:pPr>
            <w:r w:rsidRPr="00B17F07">
              <w:t xml:space="preserve">2.11. Se o fundamento da dispensa for o inciso VII, verificar se: </w:t>
            </w:r>
          </w:p>
          <w:p w:rsidR="00D4346A" w:rsidRPr="00B17F07" w:rsidRDefault="00D95844" w:rsidP="00943205">
            <w:pPr>
              <w:spacing w:after="0"/>
              <w:jc w:val="both"/>
            </w:pPr>
            <w:r w:rsidRPr="00B17F07">
              <w:t>a)</w:t>
            </w:r>
            <w:r w:rsidR="00D4346A" w:rsidRPr="00B17F07">
              <w:t xml:space="preserve"> os licitantes apresentaram propostas com preços manifestamente superiores aos praticados no mercado ou incompatíveis com os fixados pelos órgãos oficiais competentes; </w:t>
            </w:r>
          </w:p>
          <w:p w:rsidR="00D4346A" w:rsidRPr="00B17F07" w:rsidRDefault="00D95844" w:rsidP="00943205">
            <w:pPr>
              <w:spacing w:after="0"/>
              <w:jc w:val="both"/>
            </w:pPr>
            <w:r w:rsidRPr="00B17F07">
              <w:t>b)</w:t>
            </w:r>
            <w:r w:rsidR="00D4346A" w:rsidRPr="00B17F07">
              <w:t xml:space="preserve"> foram desclassificadas todas as propostas e foi facultada a apresentação de novas ofertas de preço, sem sucesso;</w:t>
            </w:r>
          </w:p>
          <w:p w:rsidR="00D4346A" w:rsidRPr="00B17F07" w:rsidRDefault="00D95844" w:rsidP="00D95844">
            <w:pPr>
              <w:widowControl w:val="0"/>
              <w:jc w:val="both"/>
            </w:pPr>
            <w:r w:rsidRPr="00B17F07">
              <w:t>c)</w:t>
            </w:r>
            <w:r w:rsidR="00D4346A" w:rsidRPr="00B17F07">
              <w:t xml:space="preserve"> o valor contratado não é superior ao da estimativa dos serviços ou do registro de preços.</w:t>
            </w:r>
          </w:p>
          <w:p w:rsidR="00D4346A" w:rsidRPr="00B17F07" w:rsidRDefault="00D4346A" w:rsidP="00D95844">
            <w:pPr>
              <w:spacing w:after="0"/>
              <w:jc w:val="both"/>
            </w:pPr>
            <w:r w:rsidRPr="00B17F07">
              <w:t xml:space="preserve">2.12. No caso da locação ou compra de imóvel prevista no inciso X, verificar se: </w:t>
            </w:r>
          </w:p>
          <w:p w:rsidR="00D4346A" w:rsidRPr="00B17F07" w:rsidRDefault="00D95844" w:rsidP="00943205">
            <w:pPr>
              <w:spacing w:after="0"/>
              <w:jc w:val="both"/>
            </w:pPr>
            <w:r w:rsidRPr="00B17F07">
              <w:t>a)</w:t>
            </w:r>
            <w:r w:rsidR="00D4346A" w:rsidRPr="00B17F07">
              <w:t xml:space="preserve"> foram justificadas as necessidades de instalação e localização que condicionaram a escolha para a compra ou locação de imóvel; </w:t>
            </w:r>
          </w:p>
          <w:p w:rsidR="00D4346A" w:rsidRPr="00B17F07" w:rsidRDefault="00D95844" w:rsidP="00D95844">
            <w:pPr>
              <w:widowControl w:val="0"/>
              <w:jc w:val="both"/>
            </w:pPr>
            <w:r w:rsidRPr="00B17F07">
              <w:t>b)</w:t>
            </w:r>
            <w:r w:rsidR="00D4346A" w:rsidRPr="00B17F07">
              <w:t xml:space="preserve"> o imóvel destina-se ao atendimento das finalidades precípuas da administração.</w:t>
            </w:r>
          </w:p>
          <w:p w:rsidR="00D4346A" w:rsidRPr="00B17F07" w:rsidRDefault="00D4346A" w:rsidP="00D95844">
            <w:pPr>
              <w:spacing w:after="0"/>
              <w:jc w:val="both"/>
            </w:pPr>
            <w:r w:rsidRPr="00B17F07">
              <w:t xml:space="preserve">2.13. Na dispensa com base no inciso XI, verificar se: </w:t>
            </w:r>
          </w:p>
          <w:p w:rsidR="00D4346A" w:rsidRPr="00B17F07" w:rsidRDefault="00D95844" w:rsidP="00943205">
            <w:pPr>
              <w:spacing w:after="0"/>
              <w:jc w:val="both"/>
            </w:pPr>
            <w:r w:rsidRPr="00B17F07">
              <w:t>a)</w:t>
            </w:r>
            <w:r w:rsidR="00D4346A" w:rsidRPr="00B17F07">
              <w:t xml:space="preserve"> houve rescisão contratual e havia remanescente de bens a serem fornecidos ou obras e serviços a serem executados;</w:t>
            </w:r>
          </w:p>
          <w:p w:rsidR="00D4346A" w:rsidRPr="00B17F07" w:rsidRDefault="00D95844" w:rsidP="00943205">
            <w:pPr>
              <w:spacing w:after="0"/>
              <w:jc w:val="both"/>
            </w:pPr>
            <w:r w:rsidRPr="00B17F07">
              <w:t xml:space="preserve">b) </w:t>
            </w:r>
            <w:r w:rsidR="00D4346A" w:rsidRPr="00B17F07">
              <w:t>os demais participantes da licitação foram convocados, na ordem de classificação, para verificar se havia interesse em contratar o remanescente;</w:t>
            </w:r>
          </w:p>
          <w:p w:rsidR="00D4346A" w:rsidRPr="00B17F07" w:rsidRDefault="00D95844" w:rsidP="00D95844">
            <w:pPr>
              <w:widowControl w:val="0"/>
              <w:jc w:val="both"/>
            </w:pPr>
            <w:r w:rsidRPr="00B17F07">
              <w:t xml:space="preserve">c) </w:t>
            </w:r>
            <w:r w:rsidR="00D4346A" w:rsidRPr="00B17F07">
              <w:t>o novo contrato foi celebrado em condições iguais às oferecidas pelo licitante vencedor, inclusive quanto ao preço, devidamente corrigido.</w:t>
            </w:r>
          </w:p>
          <w:p w:rsidR="00D4346A" w:rsidRPr="00B17F07" w:rsidRDefault="00D4346A" w:rsidP="00D95844">
            <w:pPr>
              <w:spacing w:after="0"/>
              <w:jc w:val="both"/>
            </w:pPr>
            <w:r w:rsidRPr="00B17F07">
              <w:t xml:space="preserve">2.14. Nas compras de hortifrutigranjeiros, pão e outros gêneros perecíveis (inciso XII), verificar se: </w:t>
            </w:r>
          </w:p>
          <w:p w:rsidR="00D4346A" w:rsidRPr="00B17F07" w:rsidRDefault="00D95844" w:rsidP="00943205">
            <w:pPr>
              <w:spacing w:after="0"/>
              <w:jc w:val="both"/>
            </w:pPr>
            <w:r w:rsidRPr="00B17F07">
              <w:t>a)</w:t>
            </w:r>
            <w:r w:rsidR="00D4346A" w:rsidRPr="00B17F07">
              <w:t xml:space="preserve"> a contratação foi mantida apenas no tempo necessário para a realização dos processos licitatórios correspondentes;</w:t>
            </w:r>
          </w:p>
          <w:p w:rsidR="00D4346A" w:rsidRPr="00B17F07" w:rsidRDefault="00D95844" w:rsidP="00D95844">
            <w:pPr>
              <w:widowControl w:val="0"/>
              <w:jc w:val="both"/>
            </w:pPr>
            <w:r w:rsidRPr="00B17F07">
              <w:t>b)</w:t>
            </w:r>
            <w:r w:rsidR="00D4346A" w:rsidRPr="00B17F07">
              <w:t xml:space="preserve"> as aquisições foram realizadas diretamente com base no preço do dia.</w:t>
            </w:r>
          </w:p>
          <w:p w:rsidR="00D4346A" w:rsidRPr="00B17F07" w:rsidRDefault="00D4346A" w:rsidP="00D95844">
            <w:pPr>
              <w:spacing w:after="0"/>
              <w:jc w:val="both"/>
            </w:pPr>
            <w:r w:rsidRPr="00B17F07">
              <w:t xml:space="preserve">2.15. No caso do inciso XIV, verificar se: </w:t>
            </w:r>
          </w:p>
          <w:p w:rsidR="00D4346A" w:rsidRPr="00B17F07" w:rsidRDefault="00D95844" w:rsidP="00943205">
            <w:pPr>
              <w:spacing w:after="0"/>
              <w:jc w:val="both"/>
            </w:pPr>
            <w:r w:rsidRPr="00B17F07">
              <w:t>a)</w:t>
            </w:r>
            <w:r w:rsidR="00D4346A" w:rsidRPr="00B17F07">
              <w:t xml:space="preserve"> a aquisição de bens ou serviços estava amparada nos termos de acordo internacional específico aprovado pelo Congresso Nacional;</w:t>
            </w:r>
          </w:p>
          <w:p w:rsidR="00E44A07" w:rsidRPr="00B17F07" w:rsidRDefault="00D95844" w:rsidP="00943205">
            <w:pPr>
              <w:spacing w:after="0"/>
              <w:jc w:val="both"/>
            </w:pPr>
            <w:r w:rsidRPr="00B17F07">
              <w:t>b)</w:t>
            </w:r>
            <w:r w:rsidR="00D4346A" w:rsidRPr="00B17F07">
              <w:t xml:space="preserve"> as condições ofertadas foram manifestamente vantajosas para o Poder Público.</w:t>
            </w:r>
          </w:p>
        </w:tc>
        <w:tc>
          <w:tcPr>
            <w:tcW w:w="788" w:type="pct"/>
          </w:tcPr>
          <w:p w:rsidR="00E44A07" w:rsidRPr="00B17F07" w:rsidRDefault="00E44A07" w:rsidP="00461311">
            <w:pPr>
              <w:rPr>
                <w:snapToGrid w:val="0"/>
                <w:color w:val="000000"/>
              </w:rPr>
            </w:pPr>
          </w:p>
        </w:tc>
      </w:tr>
      <w:tr w:rsidR="00E44A07" w:rsidRPr="00B17F07" w:rsidTr="005D69E3">
        <w:trPr>
          <w:cantSplit/>
        </w:trPr>
        <w:tc>
          <w:tcPr>
            <w:tcW w:w="706" w:type="pct"/>
          </w:tcPr>
          <w:p w:rsidR="00E44A07" w:rsidRPr="00B17F07" w:rsidRDefault="00E44A07" w:rsidP="00CB7C97">
            <w:pPr>
              <w:rPr>
                <w:snapToGrid w:val="0"/>
                <w:color w:val="000000"/>
              </w:rPr>
            </w:pPr>
            <w:r w:rsidRPr="00B17F07">
              <w:rPr>
                <w:snapToGrid w:val="0"/>
                <w:color w:val="000000"/>
              </w:rPr>
              <w:lastRenderedPageBreak/>
              <w:t>Q2. Continuação.</w:t>
            </w:r>
          </w:p>
        </w:tc>
        <w:tc>
          <w:tcPr>
            <w:tcW w:w="713" w:type="pct"/>
          </w:tcPr>
          <w:p w:rsidR="00E44A07" w:rsidRPr="00B17F07" w:rsidRDefault="00E44A07" w:rsidP="00461311">
            <w:pPr>
              <w:rPr>
                <w:highlight w:val="yellow"/>
              </w:rPr>
            </w:pPr>
          </w:p>
        </w:tc>
        <w:tc>
          <w:tcPr>
            <w:tcW w:w="811" w:type="pct"/>
          </w:tcPr>
          <w:p w:rsidR="00E44A07" w:rsidRPr="00B17F07" w:rsidRDefault="00E44A07" w:rsidP="00461311"/>
        </w:tc>
        <w:tc>
          <w:tcPr>
            <w:tcW w:w="1982" w:type="pct"/>
          </w:tcPr>
          <w:p w:rsidR="00D4346A" w:rsidRPr="00B17F07" w:rsidRDefault="00D4346A" w:rsidP="00D4346A">
            <w:pPr>
              <w:spacing w:after="0"/>
              <w:jc w:val="both"/>
            </w:pPr>
            <w:r w:rsidRPr="00B17F07">
              <w:t>2.16. Se o fundamento da dispensa for o inciso XV, verificar se:</w:t>
            </w:r>
          </w:p>
          <w:p w:rsidR="00D4346A" w:rsidRPr="00B17F07" w:rsidRDefault="00D95844" w:rsidP="00D4346A">
            <w:pPr>
              <w:spacing w:after="0"/>
              <w:jc w:val="both"/>
            </w:pPr>
            <w:r w:rsidRPr="00B17F07">
              <w:t>a)</w:t>
            </w:r>
            <w:r w:rsidR="00D4346A" w:rsidRPr="00B17F07">
              <w:t xml:space="preserve"> as obras de arte e objetos históricos a serem adquiridos ou restaurados possuem autenticidade certificada;</w:t>
            </w:r>
          </w:p>
          <w:p w:rsidR="00D4346A" w:rsidRPr="00B17F07" w:rsidRDefault="00D95844" w:rsidP="00D4346A">
            <w:pPr>
              <w:spacing w:after="0"/>
              <w:jc w:val="both"/>
            </w:pPr>
            <w:r w:rsidRPr="00B17F07">
              <w:t>b)</w:t>
            </w:r>
            <w:r w:rsidR="00D4346A" w:rsidRPr="00B17F07">
              <w:t xml:space="preserve"> há compatibilidade com as finalidades do órgão ou entidade contratante.</w:t>
            </w:r>
          </w:p>
          <w:p w:rsidR="00D4346A" w:rsidRPr="00B17F07" w:rsidRDefault="00D4346A" w:rsidP="00D4346A">
            <w:pPr>
              <w:spacing w:after="0"/>
              <w:jc w:val="both"/>
            </w:pPr>
          </w:p>
          <w:p w:rsidR="00D4346A" w:rsidRPr="00B17F07" w:rsidRDefault="00D4346A" w:rsidP="00D4346A">
            <w:pPr>
              <w:spacing w:after="0"/>
              <w:jc w:val="both"/>
            </w:pPr>
            <w:r w:rsidRPr="00B17F07">
              <w:t>2.17. Na aquisição com base no inciso XVII, verificar se:</w:t>
            </w:r>
          </w:p>
          <w:p w:rsidR="00D4346A" w:rsidRPr="00B17F07" w:rsidRDefault="00D95844" w:rsidP="00D4346A">
            <w:pPr>
              <w:spacing w:after="0"/>
              <w:jc w:val="both"/>
            </w:pPr>
            <w:r w:rsidRPr="00B17F07">
              <w:t>a)</w:t>
            </w:r>
            <w:r w:rsidR="00D4346A" w:rsidRPr="00B17F07">
              <w:t xml:space="preserve"> os componentes ou peças a serem adquiridos, de origem nacional ou estrangeira, são necessários à manutenção de equipamentos durante o período de garantia técnica;</w:t>
            </w:r>
          </w:p>
          <w:p w:rsidR="00D4346A" w:rsidRPr="00B17F07" w:rsidRDefault="00D95844" w:rsidP="00D4346A">
            <w:pPr>
              <w:spacing w:after="0"/>
              <w:jc w:val="both"/>
            </w:pPr>
            <w:r w:rsidRPr="00B17F07">
              <w:t>b)</w:t>
            </w:r>
            <w:r w:rsidR="00D4346A" w:rsidRPr="00B17F07">
              <w:t xml:space="preserve"> a aquisição junto ao fornecedor original dos equipamentos é condição de exclusividade indispensável para a vigência da garantia.</w:t>
            </w:r>
          </w:p>
          <w:p w:rsidR="00D4346A" w:rsidRPr="00B17F07" w:rsidRDefault="00D4346A" w:rsidP="00D4346A">
            <w:pPr>
              <w:spacing w:after="0"/>
              <w:jc w:val="both"/>
            </w:pPr>
          </w:p>
          <w:p w:rsidR="00D4346A" w:rsidRPr="00B17F07" w:rsidRDefault="00D4346A" w:rsidP="00D4346A">
            <w:pPr>
              <w:spacing w:after="0"/>
              <w:jc w:val="both"/>
            </w:pPr>
            <w:r w:rsidRPr="00B17F07">
              <w:t xml:space="preserve">2.18. No caso da dispensa com base no inciso XXI, verificar se: </w:t>
            </w:r>
          </w:p>
          <w:p w:rsidR="00D4346A" w:rsidRPr="00B17F07" w:rsidRDefault="00D95844" w:rsidP="00D4346A">
            <w:pPr>
              <w:spacing w:after="0"/>
              <w:jc w:val="both"/>
            </w:pPr>
            <w:r w:rsidRPr="00B17F07">
              <w:t>a)</w:t>
            </w:r>
            <w:r w:rsidR="00D4346A" w:rsidRPr="00B17F07">
              <w:t xml:space="preserve"> os bens adquiridos destinam-se exclusivamente a pesquisa científica e tecnológica;</w:t>
            </w:r>
          </w:p>
          <w:p w:rsidR="00D4346A" w:rsidRPr="00B17F07" w:rsidRDefault="00D95844" w:rsidP="00D4346A">
            <w:pPr>
              <w:spacing w:after="0"/>
              <w:jc w:val="both"/>
            </w:pPr>
            <w:r w:rsidRPr="00B17F07">
              <w:t>b)</w:t>
            </w:r>
            <w:r w:rsidR="00D4346A" w:rsidRPr="00B17F07">
              <w:t xml:space="preserve"> os recursos utilizados foram concedidos pela C</w:t>
            </w:r>
            <w:r w:rsidRPr="00B17F07">
              <w:t>apes</w:t>
            </w:r>
            <w:r w:rsidR="00D4346A" w:rsidRPr="00B17F07">
              <w:t xml:space="preserve">, </w:t>
            </w:r>
            <w:proofErr w:type="spellStart"/>
            <w:proofErr w:type="gramStart"/>
            <w:r w:rsidR="00D4346A" w:rsidRPr="00B17F07">
              <w:t>F</w:t>
            </w:r>
            <w:r w:rsidRPr="00B17F07">
              <w:t>inep</w:t>
            </w:r>
            <w:proofErr w:type="spellEnd"/>
            <w:proofErr w:type="gramEnd"/>
            <w:r w:rsidR="00D4346A" w:rsidRPr="00B17F07">
              <w:t xml:space="preserve">, CNPq ou outras instituições de fomento </w:t>
            </w:r>
            <w:r w:rsidR="00314F2D" w:rsidRPr="00B17F07">
              <w:t>à</w:t>
            </w:r>
            <w:r w:rsidR="00D4346A" w:rsidRPr="00B17F07">
              <w:t xml:space="preserve"> pesquisa credenciadas pelo CNPq para esse fim específico.</w:t>
            </w:r>
          </w:p>
          <w:p w:rsidR="00D4346A" w:rsidRPr="00B17F07" w:rsidRDefault="00D4346A" w:rsidP="00D4346A">
            <w:pPr>
              <w:spacing w:after="0"/>
              <w:jc w:val="both"/>
            </w:pPr>
          </w:p>
          <w:p w:rsidR="00D4346A" w:rsidRPr="00B17F07" w:rsidRDefault="00D4346A" w:rsidP="00D4346A">
            <w:pPr>
              <w:spacing w:after="0"/>
              <w:jc w:val="both"/>
            </w:pPr>
            <w:r w:rsidRPr="00B17F07">
              <w:t xml:space="preserve">2.19. Na dispensa com fundamento no inciso XXV, verificar se: </w:t>
            </w:r>
          </w:p>
          <w:p w:rsidR="00D4346A" w:rsidRPr="00B17F07" w:rsidRDefault="00D95844" w:rsidP="00D4346A">
            <w:pPr>
              <w:spacing w:after="0"/>
              <w:jc w:val="both"/>
            </w:pPr>
            <w:r w:rsidRPr="00B17F07">
              <w:t>a)</w:t>
            </w:r>
            <w:r w:rsidR="00D4346A" w:rsidRPr="00B17F07">
              <w:t xml:space="preserve"> a contratação foi realizada por Instituição Científica e Tecnológica - ICT ou por agência de fomento;</w:t>
            </w:r>
          </w:p>
          <w:p w:rsidR="00D4346A" w:rsidRPr="00B17F07" w:rsidRDefault="00D95844" w:rsidP="00D4346A">
            <w:pPr>
              <w:spacing w:after="0"/>
              <w:jc w:val="both"/>
            </w:pPr>
            <w:r w:rsidRPr="00B17F07">
              <w:t>b)</w:t>
            </w:r>
            <w:r w:rsidR="00D4346A" w:rsidRPr="00B17F07">
              <w:t xml:space="preserve"> o contrato trata de transferência de tecnologia e licenciamento de direito de uso ou de exploração de criação protegida.</w:t>
            </w:r>
          </w:p>
          <w:p w:rsidR="00D4346A" w:rsidRPr="00B17F07" w:rsidRDefault="00D4346A" w:rsidP="00D4346A">
            <w:pPr>
              <w:spacing w:after="0"/>
              <w:jc w:val="both"/>
            </w:pPr>
          </w:p>
          <w:p w:rsidR="00D4346A" w:rsidRPr="00B17F07" w:rsidRDefault="00D4346A" w:rsidP="00D4346A">
            <w:pPr>
              <w:spacing w:after="0"/>
              <w:jc w:val="both"/>
            </w:pPr>
            <w:r w:rsidRPr="00B17F07">
              <w:t xml:space="preserve">2.20. No fornecimento com base no inciso XXVIII, verificar se: </w:t>
            </w:r>
          </w:p>
          <w:p w:rsidR="00D4346A" w:rsidRPr="00B17F07" w:rsidRDefault="00D95844" w:rsidP="00D4346A">
            <w:pPr>
              <w:spacing w:after="0"/>
              <w:jc w:val="both"/>
            </w:pPr>
            <w:r w:rsidRPr="00B17F07">
              <w:t>a)</w:t>
            </w:r>
            <w:r w:rsidR="00D4346A" w:rsidRPr="00B17F07">
              <w:t xml:space="preserve"> os bens e serviços são produzidos ou prestados no País e envolvem, cumulativamente, alta complexidade tecnológica e defesa nacional;</w:t>
            </w:r>
          </w:p>
          <w:p w:rsidR="00D4346A" w:rsidRPr="00B17F07" w:rsidRDefault="00D95844" w:rsidP="00D4346A">
            <w:pPr>
              <w:spacing w:after="0"/>
              <w:jc w:val="both"/>
            </w:pPr>
            <w:r w:rsidRPr="00B17F07">
              <w:t>b)</w:t>
            </w:r>
            <w:r w:rsidR="00D4346A" w:rsidRPr="00B17F07">
              <w:t xml:space="preserve"> houve parecer de comissão especialmente designada pela autoridade máxima do órgão sobre a aquisição.</w:t>
            </w:r>
          </w:p>
          <w:p w:rsidR="00E44A07" w:rsidRPr="00B17F07" w:rsidRDefault="00E44A07" w:rsidP="00D4346A">
            <w:pPr>
              <w:spacing w:after="0"/>
              <w:jc w:val="both"/>
              <w:rPr>
                <w:snapToGrid w:val="0"/>
              </w:rPr>
            </w:pPr>
          </w:p>
        </w:tc>
        <w:tc>
          <w:tcPr>
            <w:tcW w:w="788" w:type="pct"/>
          </w:tcPr>
          <w:p w:rsidR="00E44A07" w:rsidRPr="00B17F07" w:rsidRDefault="00E44A07" w:rsidP="00461311">
            <w:pPr>
              <w:rPr>
                <w:snapToGrid w:val="0"/>
                <w:color w:val="000000"/>
              </w:rPr>
            </w:pPr>
          </w:p>
        </w:tc>
      </w:tr>
      <w:tr w:rsidR="00FB1A63" w:rsidRPr="00B17F07" w:rsidTr="005D69E3">
        <w:trPr>
          <w:cantSplit/>
        </w:trPr>
        <w:tc>
          <w:tcPr>
            <w:tcW w:w="706" w:type="pct"/>
          </w:tcPr>
          <w:p w:rsidR="00FB1A63" w:rsidRPr="00B17F07" w:rsidRDefault="00FB1A63" w:rsidP="00F03BA9">
            <w:r w:rsidRPr="00B17F07">
              <w:lastRenderedPageBreak/>
              <w:t>Q</w:t>
            </w:r>
            <w:r w:rsidR="00F03BA9" w:rsidRPr="00B17F07">
              <w:t>3</w:t>
            </w:r>
            <w:r w:rsidRPr="00B17F07">
              <w:t xml:space="preserve">. </w:t>
            </w:r>
            <w:r w:rsidR="00F03BA9" w:rsidRPr="00B17F07">
              <w:t>Os preços dos bens e serviços adquiridos mediante dispensa de licitação estão justificados no processo e são compatíveis com os preços praticados no mercado?</w:t>
            </w:r>
          </w:p>
        </w:tc>
        <w:tc>
          <w:tcPr>
            <w:tcW w:w="713" w:type="pct"/>
          </w:tcPr>
          <w:p w:rsidR="00E41E10" w:rsidRPr="00B17F07" w:rsidRDefault="00E41E10" w:rsidP="00E41E10">
            <w:pPr>
              <w:jc w:val="both"/>
            </w:pPr>
            <w:r w:rsidRPr="00B17F07">
              <w:t xml:space="preserve">Orçamento da empresa contratada. </w:t>
            </w:r>
          </w:p>
          <w:p w:rsidR="00E41E10" w:rsidRPr="00B17F07" w:rsidRDefault="00E41E10" w:rsidP="00E41E10">
            <w:pPr>
              <w:jc w:val="both"/>
            </w:pPr>
            <w:r w:rsidRPr="00B17F07">
              <w:t>Pesquisa de preços realizada para justificar a contratação.</w:t>
            </w:r>
          </w:p>
          <w:p w:rsidR="00E41E10" w:rsidRPr="00B17F07" w:rsidRDefault="00E41E10" w:rsidP="00E41E10">
            <w:pPr>
              <w:jc w:val="both"/>
            </w:pPr>
            <w:r w:rsidRPr="00B17F07">
              <w:t xml:space="preserve">Justificativa para os preços praticados. </w:t>
            </w:r>
          </w:p>
          <w:p w:rsidR="00E41E10" w:rsidRPr="00B17F07" w:rsidRDefault="00E41E10" w:rsidP="00E41E10">
            <w:pPr>
              <w:jc w:val="both"/>
            </w:pPr>
            <w:r w:rsidRPr="00B17F07">
              <w:t xml:space="preserve">Preços praticados na contratação. </w:t>
            </w:r>
          </w:p>
          <w:p w:rsidR="00E41E10" w:rsidRPr="00B17F07" w:rsidRDefault="00E41E10" w:rsidP="00E41E10">
            <w:pPr>
              <w:jc w:val="both"/>
            </w:pPr>
            <w:r w:rsidRPr="00B17F07">
              <w:t xml:space="preserve">Preços praticados por outras empresas fornecedoras do mesmo bem/serviço objeto do contrato. </w:t>
            </w:r>
          </w:p>
          <w:p w:rsidR="00E41E10" w:rsidRPr="00B17F07" w:rsidRDefault="00E41E10" w:rsidP="00E41E10">
            <w:pPr>
              <w:jc w:val="both"/>
            </w:pPr>
            <w:r w:rsidRPr="00B17F07">
              <w:t xml:space="preserve">Preços praticados nos demais contratos da Administração Pública Federal. </w:t>
            </w:r>
          </w:p>
          <w:p w:rsidR="00E41E10" w:rsidRPr="00B17F07" w:rsidRDefault="00E41E10" w:rsidP="00E41E10">
            <w:r w:rsidRPr="00B17F07">
              <w:t>Preços fixados por órgão oficial competente</w:t>
            </w:r>
            <w:r w:rsidR="00F4680A" w:rsidRPr="00B17F07">
              <w:t>.</w:t>
            </w:r>
          </w:p>
        </w:tc>
        <w:tc>
          <w:tcPr>
            <w:tcW w:w="811" w:type="pct"/>
          </w:tcPr>
          <w:p w:rsidR="00E41E10" w:rsidRPr="00B17F07" w:rsidRDefault="00E41E10" w:rsidP="00E41E10">
            <w:pPr>
              <w:jc w:val="both"/>
            </w:pPr>
            <w:r w:rsidRPr="00B17F07">
              <w:t xml:space="preserve">Processos de contratação direta. </w:t>
            </w:r>
          </w:p>
          <w:p w:rsidR="00E41E10" w:rsidRPr="00B17F07" w:rsidRDefault="00E41E10" w:rsidP="00E41E10">
            <w:pPr>
              <w:jc w:val="both"/>
            </w:pPr>
            <w:r w:rsidRPr="00B17F07">
              <w:t xml:space="preserve">Pareceres emitidos. </w:t>
            </w:r>
          </w:p>
          <w:p w:rsidR="00E41E10" w:rsidRPr="00B17F07" w:rsidRDefault="00E41E10" w:rsidP="00E41E10">
            <w:pPr>
              <w:jc w:val="both"/>
            </w:pPr>
            <w:r w:rsidRPr="00B17F07">
              <w:t xml:space="preserve">Termo contratual. </w:t>
            </w:r>
          </w:p>
          <w:p w:rsidR="00E41E10" w:rsidRPr="00B17F07" w:rsidRDefault="00E41E10" w:rsidP="00E41E10">
            <w:pPr>
              <w:jc w:val="both"/>
            </w:pPr>
            <w:r w:rsidRPr="00B17F07">
              <w:t xml:space="preserve">Outras empresas fornecedoras do mesmo bem/serviço objeto da contratação. </w:t>
            </w:r>
          </w:p>
          <w:p w:rsidR="00E41E10" w:rsidRPr="00B17F07" w:rsidRDefault="00E41E10" w:rsidP="00E41E10">
            <w:pPr>
              <w:jc w:val="both"/>
            </w:pPr>
            <w:proofErr w:type="spellStart"/>
            <w:r w:rsidRPr="00B17F07">
              <w:t>Comprasnet</w:t>
            </w:r>
            <w:proofErr w:type="spellEnd"/>
            <w:r w:rsidRPr="00B17F07">
              <w:t xml:space="preserve">. </w:t>
            </w:r>
          </w:p>
          <w:p w:rsidR="00E41E10" w:rsidRPr="00B17F07" w:rsidRDefault="00E41E10" w:rsidP="00E41E10">
            <w:pPr>
              <w:jc w:val="both"/>
            </w:pPr>
            <w:r w:rsidRPr="00B17F07">
              <w:t>Sítio do órgão oficial competente</w:t>
            </w:r>
            <w:r w:rsidR="00F4680A" w:rsidRPr="00B17F07">
              <w:t>.</w:t>
            </w:r>
            <w:r w:rsidRPr="00B17F07">
              <w:t xml:space="preserve"> </w:t>
            </w:r>
          </w:p>
          <w:p w:rsidR="00FB1A63" w:rsidRPr="00B17F07" w:rsidRDefault="00FB1A63" w:rsidP="00CD66F2"/>
        </w:tc>
        <w:tc>
          <w:tcPr>
            <w:tcW w:w="1982" w:type="pct"/>
          </w:tcPr>
          <w:p w:rsidR="00FB1A63" w:rsidRPr="00B17F07" w:rsidRDefault="009130ED" w:rsidP="00FB1A63">
            <w:pPr>
              <w:widowControl w:val="0"/>
              <w:rPr>
                <w:b/>
                <w:snapToGrid w:val="0"/>
              </w:rPr>
            </w:pPr>
            <w:r w:rsidRPr="00B17F07">
              <w:rPr>
                <w:b/>
                <w:snapToGrid w:val="0"/>
              </w:rPr>
              <w:t>Adequação e razoabilidade dos preços em</w:t>
            </w:r>
            <w:r w:rsidR="00FB1A63" w:rsidRPr="00B17F07">
              <w:rPr>
                <w:b/>
                <w:snapToGrid w:val="0"/>
              </w:rPr>
              <w:t xml:space="preserve"> contratação direta por dispensa</w:t>
            </w:r>
          </w:p>
          <w:p w:rsidR="00FB1A63" w:rsidRPr="00B17F07" w:rsidRDefault="00E41E10" w:rsidP="00E41E10">
            <w:pPr>
              <w:pStyle w:val="Corpodetexto"/>
              <w:tabs>
                <w:tab w:val="clear" w:pos="567"/>
              </w:tabs>
              <w:rPr>
                <w:snapToGrid w:val="0"/>
                <w:sz w:val="20"/>
              </w:rPr>
            </w:pPr>
            <w:r w:rsidRPr="00B17F07">
              <w:rPr>
                <w:snapToGrid w:val="0"/>
                <w:sz w:val="20"/>
              </w:rPr>
              <w:t>3</w:t>
            </w:r>
            <w:r w:rsidR="00FB1A63" w:rsidRPr="00B17F07">
              <w:rPr>
                <w:snapToGrid w:val="0"/>
                <w:sz w:val="20"/>
              </w:rPr>
              <w:t>.1. No processo de contratação direta, identificar a empresa contratada e analisar, no caso de prestação de serviços, se consta do processo um orçamento detalhado em planilhas que expressem a composição de todos os seus custos unitários</w:t>
            </w:r>
            <w:r w:rsidRPr="00B17F07">
              <w:rPr>
                <w:snapToGrid w:val="0"/>
                <w:sz w:val="20"/>
              </w:rPr>
              <w:t>.</w:t>
            </w:r>
            <w:r w:rsidR="00FB1A63" w:rsidRPr="00B17F07">
              <w:rPr>
                <w:snapToGrid w:val="0"/>
                <w:sz w:val="20"/>
              </w:rPr>
              <w:t xml:space="preserve"> </w:t>
            </w:r>
          </w:p>
          <w:p w:rsidR="00E41E10" w:rsidRPr="00B17F07" w:rsidRDefault="00E41E10" w:rsidP="00E41E10">
            <w:pPr>
              <w:jc w:val="both"/>
            </w:pPr>
            <w:r w:rsidRPr="00B17F07">
              <w:t xml:space="preserve">3.2. Verificar se o órgão procedeu à cotação eletrônica ou pesquisa de preços com ao menos três propostas e se estas foram anexadas ao processo de modo a justificar o preço da aquisição e evidenciar a compatibilidade deste com os preços de mercado. Em caso negativo, verificar se há justificativa para a não obtenção do número razoável de cotações. </w:t>
            </w:r>
          </w:p>
          <w:p w:rsidR="00E41E10" w:rsidRPr="00B17F07" w:rsidRDefault="00E41E10" w:rsidP="00B17F07">
            <w:pPr>
              <w:pStyle w:val="Corpodetexto"/>
              <w:tabs>
                <w:tab w:val="clear" w:pos="567"/>
              </w:tabs>
              <w:rPr>
                <w:snapToGrid w:val="0"/>
                <w:sz w:val="20"/>
              </w:rPr>
            </w:pPr>
            <w:r w:rsidRPr="00B17F07">
              <w:rPr>
                <w:sz w:val="20"/>
              </w:rPr>
              <w:t>3.3. Verificar a compatibilidade dos preços contratados com os praticados no mercado conforme detalhamento deste procedimento</w:t>
            </w:r>
            <w:r w:rsidR="00F4680A" w:rsidRPr="00B17F07">
              <w:rPr>
                <w:sz w:val="20"/>
              </w:rPr>
              <w:t>.</w:t>
            </w:r>
          </w:p>
          <w:p w:rsidR="00E41E10" w:rsidRPr="00B17F07" w:rsidRDefault="00E57A73" w:rsidP="00B17F07">
            <w:pPr>
              <w:jc w:val="both"/>
            </w:pPr>
            <w:r w:rsidRPr="00B17F07">
              <w:t>3.3.1.</w:t>
            </w:r>
            <w:r w:rsidR="00E41E10" w:rsidRPr="00B17F07">
              <w:t xml:space="preserve"> Observar os itens relevantes do contrato, isto é, aqueles que apresentam os maiores preços globais (preço unitário x quantidade) e realizar pesquisa de preços de mercado para eles </w:t>
            </w:r>
            <w:r w:rsidR="00F4680A" w:rsidRPr="00B17F07">
              <w:t>(</w:t>
            </w:r>
            <w:r w:rsidR="00E41E10" w:rsidRPr="00B17F07">
              <w:t>consultar outras empresas fornecedoras do mesmo bem/serviço, sites da internet</w:t>
            </w:r>
            <w:r w:rsidR="00652682">
              <w:t xml:space="preserve">, </w:t>
            </w:r>
            <w:proofErr w:type="gramStart"/>
            <w:r w:rsidR="00E41E10" w:rsidRPr="00B17F07">
              <w:t>por exemplo</w:t>
            </w:r>
            <w:proofErr w:type="gramEnd"/>
            <w:r w:rsidR="00652682">
              <w:t xml:space="preserve"> o</w:t>
            </w:r>
            <w:r w:rsidR="00E41E10" w:rsidRPr="00B17F07">
              <w:t xml:space="preserve"> </w:t>
            </w:r>
            <w:proofErr w:type="spellStart"/>
            <w:r w:rsidR="00E41E10" w:rsidRPr="00B17F07">
              <w:t>Comprasnet</w:t>
            </w:r>
            <w:proofErr w:type="spellEnd"/>
            <w:r w:rsidR="00652682">
              <w:t>,</w:t>
            </w:r>
            <w:r w:rsidR="00835516" w:rsidRPr="00B17F07">
              <w:t xml:space="preserve"> e</w:t>
            </w:r>
            <w:r w:rsidR="00E41E10" w:rsidRPr="00B17F07">
              <w:t xml:space="preserve"> órgão competente pela fixação de preços</w:t>
            </w:r>
            <w:r w:rsidR="00835516" w:rsidRPr="00B17F07">
              <w:t>)</w:t>
            </w:r>
            <w:r w:rsidR="00E41E10" w:rsidRPr="00B17F07">
              <w:t>.</w:t>
            </w:r>
          </w:p>
          <w:p w:rsidR="00FB1A63" w:rsidRPr="00B17F07" w:rsidRDefault="00E57A73" w:rsidP="00B17F07">
            <w:pPr>
              <w:jc w:val="both"/>
              <w:rPr>
                <w:i/>
              </w:rPr>
            </w:pPr>
            <w:r w:rsidRPr="00B17F07">
              <w:t>3</w:t>
            </w:r>
            <w:r w:rsidR="001B0137" w:rsidRPr="00B17F07">
              <w:t>.3.2.</w:t>
            </w:r>
            <w:r w:rsidR="00E41E10" w:rsidRPr="00B17F07">
              <w:t xml:space="preserve"> </w:t>
            </w:r>
            <w:r w:rsidR="00E41E10" w:rsidRPr="00B17F07">
              <w:rPr>
                <w:iCs/>
              </w:rPr>
              <w:t>Caso não seja possível verificar todos os itens e a amostra não tenha sido determinada durante o planejamento:</w:t>
            </w:r>
            <w:r w:rsidR="00E41E10" w:rsidRPr="00B17F07">
              <w:t xml:space="preserve"> definir a amostra que </w:t>
            </w:r>
            <w:proofErr w:type="gramStart"/>
            <w:r w:rsidR="00E41E10" w:rsidRPr="00B17F07">
              <w:t>será objeto</w:t>
            </w:r>
            <w:proofErr w:type="gramEnd"/>
            <w:r w:rsidR="00E41E10" w:rsidRPr="00B17F07">
              <w:t xml:space="preserve"> de análise (tamanho da amostra, número de itens e procedimento de seleção), especificando os critérios (estatísticos ou de julgamento profissional) adotados.</w:t>
            </w:r>
          </w:p>
        </w:tc>
        <w:tc>
          <w:tcPr>
            <w:tcW w:w="788" w:type="pct"/>
          </w:tcPr>
          <w:p w:rsidR="00FB1A63" w:rsidRPr="00B17F07" w:rsidRDefault="00FB1A63" w:rsidP="00FB1A63">
            <w:pPr>
              <w:rPr>
                <w:snapToGrid w:val="0"/>
                <w:color w:val="000000"/>
              </w:rPr>
            </w:pPr>
            <w:r w:rsidRPr="00B17F07">
              <w:rPr>
                <w:snapToGrid w:val="0"/>
                <w:color w:val="000000"/>
              </w:rPr>
              <w:t>A</w:t>
            </w:r>
            <w:r w:rsidR="00E41E10" w:rsidRPr="00B17F07">
              <w:rPr>
                <w:snapToGrid w:val="0"/>
                <w:color w:val="000000"/>
              </w:rPr>
              <w:t>7</w:t>
            </w:r>
            <w:r w:rsidRPr="00B17F07">
              <w:rPr>
                <w:snapToGrid w:val="0"/>
                <w:color w:val="000000"/>
              </w:rPr>
              <w:t xml:space="preserve"> </w:t>
            </w:r>
            <w:r w:rsidR="00835516" w:rsidRPr="00B17F07">
              <w:rPr>
                <w:snapToGrid w:val="0"/>
                <w:color w:val="000000"/>
              </w:rPr>
              <w:t xml:space="preserve">- </w:t>
            </w:r>
            <w:r w:rsidRPr="00B17F07">
              <w:rPr>
                <w:snapToGrid w:val="0"/>
                <w:color w:val="000000"/>
              </w:rPr>
              <w:t>Sobrepreço nas contratações diretas.</w:t>
            </w:r>
          </w:p>
          <w:p w:rsidR="00FB1A63" w:rsidRPr="00B17F07" w:rsidRDefault="00FB1A63" w:rsidP="00FB1A63">
            <w:pPr>
              <w:rPr>
                <w:snapToGrid w:val="0"/>
                <w:color w:val="000000"/>
              </w:rPr>
            </w:pPr>
            <w:r w:rsidRPr="00B17F07">
              <w:rPr>
                <w:snapToGrid w:val="0"/>
                <w:color w:val="000000"/>
              </w:rPr>
              <w:t>A</w:t>
            </w:r>
            <w:r w:rsidR="00E41E10" w:rsidRPr="00B17F07">
              <w:rPr>
                <w:snapToGrid w:val="0"/>
                <w:color w:val="000000"/>
              </w:rPr>
              <w:t>8</w:t>
            </w:r>
            <w:r w:rsidRPr="00B17F07">
              <w:rPr>
                <w:snapToGrid w:val="0"/>
                <w:color w:val="000000"/>
              </w:rPr>
              <w:t xml:space="preserve"> </w:t>
            </w:r>
            <w:r w:rsidR="00835516" w:rsidRPr="00B17F07">
              <w:rPr>
                <w:snapToGrid w:val="0"/>
                <w:color w:val="000000"/>
              </w:rPr>
              <w:t xml:space="preserve">- </w:t>
            </w:r>
            <w:r w:rsidRPr="00B17F07">
              <w:rPr>
                <w:snapToGrid w:val="0"/>
                <w:color w:val="000000"/>
              </w:rPr>
              <w:t>Não realização de pesquisas de preços.</w:t>
            </w:r>
          </w:p>
          <w:p w:rsidR="00FB1A63" w:rsidRPr="00B17F07" w:rsidRDefault="00FB1A63" w:rsidP="00B44576">
            <w:pPr>
              <w:rPr>
                <w:snapToGrid w:val="0"/>
                <w:color w:val="000000"/>
              </w:rPr>
            </w:pPr>
            <w:r w:rsidRPr="00B17F07">
              <w:rPr>
                <w:snapToGrid w:val="0"/>
                <w:color w:val="000000"/>
              </w:rPr>
              <w:t>A</w:t>
            </w:r>
            <w:r w:rsidR="00E41E10" w:rsidRPr="00B17F07">
              <w:rPr>
                <w:snapToGrid w:val="0"/>
                <w:color w:val="000000"/>
              </w:rPr>
              <w:t>9</w:t>
            </w:r>
            <w:r w:rsidRPr="00B17F07">
              <w:rPr>
                <w:snapToGrid w:val="0"/>
                <w:color w:val="000000"/>
              </w:rPr>
              <w:t xml:space="preserve"> </w:t>
            </w:r>
            <w:r w:rsidR="00835516" w:rsidRPr="00B17F07">
              <w:rPr>
                <w:snapToGrid w:val="0"/>
                <w:color w:val="000000"/>
              </w:rPr>
              <w:t xml:space="preserve">- </w:t>
            </w:r>
            <w:r w:rsidRPr="00B17F07">
              <w:rPr>
                <w:snapToGrid w:val="0"/>
                <w:color w:val="000000"/>
              </w:rPr>
              <w:t xml:space="preserve">Pesquisa de preços inadequada (com menos de 3 propostas </w:t>
            </w:r>
            <w:proofErr w:type="spellStart"/>
            <w:r w:rsidRPr="00B17F07">
              <w:rPr>
                <w:snapToGrid w:val="0"/>
                <w:color w:val="000000"/>
              </w:rPr>
              <w:t>embasadoras</w:t>
            </w:r>
            <w:proofErr w:type="spellEnd"/>
            <w:r w:rsidRPr="00B17F07">
              <w:rPr>
                <w:snapToGrid w:val="0"/>
                <w:color w:val="000000"/>
              </w:rPr>
              <w:t>).</w:t>
            </w:r>
          </w:p>
          <w:p w:rsidR="00E41E10" w:rsidRPr="00B17F07" w:rsidRDefault="00E41E10" w:rsidP="00E41E10">
            <w:pPr>
              <w:jc w:val="both"/>
            </w:pPr>
            <w:r w:rsidRPr="00B17F07">
              <w:t>A10</w:t>
            </w:r>
            <w:r w:rsidR="00835516" w:rsidRPr="00B17F07">
              <w:t xml:space="preserve"> -</w:t>
            </w:r>
            <w:r w:rsidRPr="00B17F07">
              <w:t xml:space="preserve"> Ausência de orçamento detalhado em planilhas que expressem a composição de todos os custos unitários do objeto contratado</w:t>
            </w:r>
            <w:r w:rsidR="00CD1F89" w:rsidRPr="00B17F07">
              <w:t>.</w:t>
            </w:r>
          </w:p>
          <w:p w:rsidR="00E41E10" w:rsidRPr="00B17F07" w:rsidRDefault="00E41E10" w:rsidP="00B44576">
            <w:pPr>
              <w:rPr>
                <w:snapToGrid w:val="0"/>
                <w:color w:val="000000"/>
              </w:rPr>
            </w:pPr>
          </w:p>
        </w:tc>
      </w:tr>
      <w:tr w:rsidR="00FE22F7" w:rsidRPr="00B17F07" w:rsidTr="005D69E3">
        <w:trPr>
          <w:cantSplit/>
        </w:trPr>
        <w:tc>
          <w:tcPr>
            <w:tcW w:w="706" w:type="pct"/>
          </w:tcPr>
          <w:p w:rsidR="00FE22F7" w:rsidRPr="00B17F07" w:rsidRDefault="00FE22F7" w:rsidP="00F03BA9">
            <w:r w:rsidRPr="00B17F07">
              <w:t>Q4. Houve favorecimento de fornecedor ou contratação simulada ou inexecução contratual?</w:t>
            </w:r>
          </w:p>
        </w:tc>
        <w:tc>
          <w:tcPr>
            <w:tcW w:w="713" w:type="pct"/>
          </w:tcPr>
          <w:p w:rsidR="00FE22F7" w:rsidRPr="00B17F07" w:rsidRDefault="00F62388" w:rsidP="00E41E10">
            <w:pPr>
              <w:jc w:val="both"/>
            </w:pPr>
            <w:r w:rsidRPr="00B17F07">
              <w:t>Quadro da instituição brasileira incumbida regimental ou estatutariamente da pesquisa, do ensino ou do desenvolvimento institucional (em números e qualificação técnica).</w:t>
            </w:r>
          </w:p>
        </w:tc>
        <w:tc>
          <w:tcPr>
            <w:tcW w:w="811" w:type="pct"/>
          </w:tcPr>
          <w:p w:rsidR="00FE22F7" w:rsidRPr="00B17F07" w:rsidRDefault="00F62388" w:rsidP="00E41E10">
            <w:pPr>
              <w:jc w:val="both"/>
            </w:pPr>
            <w:r w:rsidRPr="00B17F07">
              <w:t>Termo contratual.</w:t>
            </w:r>
          </w:p>
          <w:p w:rsidR="00F62388" w:rsidRPr="00B17F07" w:rsidRDefault="00F62388" w:rsidP="00F62388">
            <w:pPr>
              <w:jc w:val="both"/>
            </w:pPr>
            <w:r w:rsidRPr="00B17F07">
              <w:t>Comprovantes do fornecimento do bem ou serviço e da despesa.</w:t>
            </w:r>
          </w:p>
          <w:p w:rsidR="00F62388" w:rsidRPr="00B17F07" w:rsidRDefault="00F62388" w:rsidP="00F62388">
            <w:pPr>
              <w:jc w:val="both"/>
            </w:pPr>
            <w:r w:rsidRPr="00B17F07">
              <w:t>Documentos constitutivos da instituição.</w:t>
            </w:r>
          </w:p>
          <w:p w:rsidR="00F62388" w:rsidRPr="00B17F07" w:rsidRDefault="00F62388" w:rsidP="00F62388">
            <w:pPr>
              <w:jc w:val="both"/>
            </w:pPr>
            <w:r w:rsidRPr="00B17F07">
              <w:t>Moradores.</w:t>
            </w:r>
          </w:p>
        </w:tc>
        <w:tc>
          <w:tcPr>
            <w:tcW w:w="1982" w:type="pct"/>
          </w:tcPr>
          <w:p w:rsidR="00652682" w:rsidRPr="00652682" w:rsidRDefault="00652682" w:rsidP="00B17F07">
            <w:pPr>
              <w:widowControl w:val="0"/>
              <w:jc w:val="both"/>
              <w:rPr>
                <w:b/>
              </w:rPr>
            </w:pPr>
            <w:r w:rsidRPr="00652682">
              <w:rPr>
                <w:b/>
              </w:rPr>
              <w:t>Regularidade da contratação de institu</w:t>
            </w:r>
            <w:r>
              <w:rPr>
                <w:b/>
              </w:rPr>
              <w:t xml:space="preserve">ição </w:t>
            </w:r>
            <w:r w:rsidRPr="00652682">
              <w:rPr>
                <w:b/>
              </w:rPr>
              <w:t>de pesquisa</w:t>
            </w:r>
          </w:p>
          <w:p w:rsidR="00FE22F7" w:rsidRPr="00B17F07" w:rsidRDefault="00A94AFA" w:rsidP="00B17F07">
            <w:pPr>
              <w:widowControl w:val="0"/>
              <w:jc w:val="both"/>
            </w:pPr>
            <w:r w:rsidRPr="00B17F07">
              <w:t>4.1. No caso de contratação direta de instituição brasileira incumbida regimental ou estatutariamente da pesquisa, do ensino ou do desenvolvimento institucional, ou de instituição dedicada à recuperação social do preso (art. 24, inc. XIII, da Lei 8.666/1993), verificar as seguintes disposições:</w:t>
            </w:r>
          </w:p>
          <w:p w:rsidR="00A94AFA" w:rsidRPr="00652682" w:rsidRDefault="00A94AFA" w:rsidP="00652682">
            <w:pPr>
              <w:jc w:val="both"/>
            </w:pPr>
            <w:r w:rsidRPr="00B17F07">
              <w:t>4.1.1. Requisitar lista contendo o quadro de pessoal da instituição contratada, com o nome dos profissionais e sua respectiva formação.</w:t>
            </w:r>
          </w:p>
        </w:tc>
        <w:tc>
          <w:tcPr>
            <w:tcW w:w="788" w:type="pct"/>
          </w:tcPr>
          <w:p w:rsidR="00FE22F7" w:rsidRPr="00B17F07" w:rsidRDefault="00F62388" w:rsidP="00FB1A63">
            <w:r w:rsidRPr="00B17F07">
              <w:t xml:space="preserve">A11 </w:t>
            </w:r>
            <w:r w:rsidR="00FE22F7" w:rsidRPr="00B17F07">
              <w:t>Direcionamento da contratação direta, para favorecimento de terceiros em detrimento do interesse público e da moralidade administrativa.</w:t>
            </w:r>
          </w:p>
          <w:p w:rsidR="00F62388" w:rsidRPr="00B17F07" w:rsidRDefault="00F62388" w:rsidP="00FB1A63">
            <w:pPr>
              <w:rPr>
                <w:snapToGrid w:val="0"/>
                <w:color w:val="000000"/>
              </w:rPr>
            </w:pPr>
          </w:p>
        </w:tc>
      </w:tr>
      <w:tr w:rsidR="00F62388" w:rsidRPr="00B17F07" w:rsidTr="005D69E3">
        <w:trPr>
          <w:cantSplit/>
        </w:trPr>
        <w:tc>
          <w:tcPr>
            <w:tcW w:w="706" w:type="pct"/>
          </w:tcPr>
          <w:p w:rsidR="00F62388" w:rsidRPr="00B17F07" w:rsidRDefault="00F62388" w:rsidP="00F62388">
            <w:r w:rsidRPr="00B17F07">
              <w:rPr>
                <w:snapToGrid w:val="0"/>
                <w:color w:val="000000"/>
              </w:rPr>
              <w:lastRenderedPageBreak/>
              <w:t>Q4. Continuação.</w:t>
            </w:r>
          </w:p>
        </w:tc>
        <w:tc>
          <w:tcPr>
            <w:tcW w:w="713" w:type="pct"/>
          </w:tcPr>
          <w:p w:rsidR="00F62388" w:rsidRPr="00B17F07" w:rsidRDefault="00F62388" w:rsidP="00E41E10">
            <w:pPr>
              <w:jc w:val="both"/>
            </w:pPr>
            <w:r w:rsidRPr="00B17F07">
              <w:t>Descrição do objeto do contrato.</w:t>
            </w:r>
          </w:p>
          <w:p w:rsidR="00F62388" w:rsidRPr="00B17F07" w:rsidRDefault="00F62388" w:rsidP="00E41E10">
            <w:pPr>
              <w:jc w:val="both"/>
            </w:pPr>
            <w:r w:rsidRPr="00B17F07">
              <w:t>Fornecedor do bem ou serviço objeto do contrato.</w:t>
            </w:r>
          </w:p>
          <w:p w:rsidR="00F62388" w:rsidRPr="00B17F07" w:rsidRDefault="00F62388" w:rsidP="00F62388">
            <w:pPr>
              <w:jc w:val="both"/>
            </w:pPr>
            <w:r w:rsidRPr="00B17F07">
              <w:t xml:space="preserve">Composição societária e administrativa das contratadas, bem como dados de sócios e/ou administradores (nome e CPF). </w:t>
            </w:r>
          </w:p>
          <w:p w:rsidR="00F62388" w:rsidRPr="00B17F07" w:rsidRDefault="00F62388" w:rsidP="00F62388">
            <w:pPr>
              <w:jc w:val="both"/>
            </w:pPr>
            <w:r w:rsidRPr="00B17F07">
              <w:t xml:space="preserve">Dados pessoais dos responsáveis pela área de licitação e/ou contratos da entidade auditada (nome e CPF). </w:t>
            </w:r>
          </w:p>
          <w:p w:rsidR="00F62388" w:rsidRPr="00B17F07" w:rsidRDefault="00F62388" w:rsidP="00F62388">
            <w:pPr>
              <w:jc w:val="both"/>
            </w:pPr>
            <w:r w:rsidRPr="00B17F07">
              <w:t xml:space="preserve">Dados (CNPJ, inscrição estadual, endereço, razão social, atividade econômica principal, situação cadastral atual, data da abertura) das empresas contratadas. </w:t>
            </w:r>
          </w:p>
          <w:p w:rsidR="00F62388" w:rsidRPr="00B17F07" w:rsidRDefault="00F62388" w:rsidP="00F62388">
            <w:pPr>
              <w:jc w:val="both"/>
            </w:pPr>
            <w:r w:rsidRPr="00B17F07">
              <w:t xml:space="preserve">Confirmação do funcionamento da empresa contratada. </w:t>
            </w:r>
          </w:p>
          <w:p w:rsidR="00F62388" w:rsidRPr="00B17F07" w:rsidRDefault="00F62388" w:rsidP="00F62388">
            <w:pPr>
              <w:jc w:val="both"/>
            </w:pPr>
            <w:r w:rsidRPr="00B17F07">
              <w:t xml:space="preserve">Regularidade cadastral das contratadas nas secretarias de fazenda estaduais e de finanças municipais. </w:t>
            </w:r>
          </w:p>
          <w:p w:rsidR="00F62388" w:rsidRPr="00B17F07" w:rsidRDefault="00F62388" w:rsidP="00F62388">
            <w:pPr>
              <w:jc w:val="both"/>
            </w:pPr>
            <w:r w:rsidRPr="00B17F07">
              <w:t xml:space="preserve">Objeto efetivamente entregue. </w:t>
            </w:r>
          </w:p>
          <w:p w:rsidR="00F62388" w:rsidRPr="00B17F07" w:rsidRDefault="00F62388" w:rsidP="00E41E10">
            <w:pPr>
              <w:jc w:val="both"/>
            </w:pPr>
          </w:p>
        </w:tc>
        <w:tc>
          <w:tcPr>
            <w:tcW w:w="811" w:type="pct"/>
          </w:tcPr>
          <w:p w:rsidR="00F62388" w:rsidRPr="00B17F07" w:rsidRDefault="00F62388" w:rsidP="00F62388">
            <w:pPr>
              <w:jc w:val="both"/>
            </w:pPr>
            <w:r w:rsidRPr="00B17F07">
              <w:t xml:space="preserve">Local de instalação da empresa. </w:t>
            </w:r>
          </w:p>
          <w:p w:rsidR="00F62388" w:rsidRPr="00B17F07" w:rsidRDefault="00F62388" w:rsidP="00F62388">
            <w:pPr>
              <w:jc w:val="both"/>
            </w:pPr>
            <w:r w:rsidRPr="00B17F07">
              <w:t xml:space="preserve">Juntas Comerciais e Cartórios de Registro Civil de Pessoas Jurídicas. </w:t>
            </w:r>
          </w:p>
          <w:p w:rsidR="00F62388" w:rsidRPr="00B17F07" w:rsidRDefault="00F62388" w:rsidP="00F62388">
            <w:pPr>
              <w:jc w:val="both"/>
            </w:pPr>
            <w:r w:rsidRPr="00B17F07">
              <w:t xml:space="preserve">Sítios do </w:t>
            </w:r>
            <w:proofErr w:type="spellStart"/>
            <w:r w:rsidRPr="00B17F07">
              <w:t>Sintegra</w:t>
            </w:r>
            <w:proofErr w:type="spellEnd"/>
            <w:r w:rsidRPr="00B17F07">
              <w:t xml:space="preserve">, da Receita Federal e das secretarias de fazenda dos estados. </w:t>
            </w:r>
          </w:p>
          <w:p w:rsidR="00F62388" w:rsidRPr="00B17F07" w:rsidRDefault="00F62388" w:rsidP="00F62388">
            <w:pPr>
              <w:jc w:val="both"/>
            </w:pPr>
            <w:r w:rsidRPr="00B17F07">
              <w:t xml:space="preserve">Secretarias de fazenda dos estados e Secretarias de finanças dos municípios. </w:t>
            </w:r>
          </w:p>
          <w:p w:rsidR="00F62388" w:rsidRPr="00B17F07" w:rsidRDefault="00F62388" w:rsidP="00F62388">
            <w:pPr>
              <w:jc w:val="both"/>
            </w:pPr>
            <w:r w:rsidRPr="00B17F07">
              <w:t xml:space="preserve">Local de prestação do serviço. </w:t>
            </w:r>
          </w:p>
          <w:p w:rsidR="00F62388" w:rsidRPr="00B17F07" w:rsidRDefault="00F62388" w:rsidP="00F62388">
            <w:pPr>
              <w:jc w:val="both"/>
            </w:pPr>
            <w:r w:rsidRPr="00B17F07">
              <w:t>Gestor/fiscal do contrato.</w:t>
            </w:r>
          </w:p>
        </w:tc>
        <w:tc>
          <w:tcPr>
            <w:tcW w:w="1982" w:type="pct"/>
          </w:tcPr>
          <w:p w:rsidR="00A94AFA" w:rsidRPr="00B17F07" w:rsidRDefault="00A94AFA" w:rsidP="00A94AFA">
            <w:pPr>
              <w:jc w:val="both"/>
            </w:pPr>
            <w:r w:rsidRPr="00B17F07">
              <w:t>4.1.2. Identificar, no contrato firmado com a instituição, os serviços objeto do contrato.</w:t>
            </w:r>
          </w:p>
          <w:p w:rsidR="00A94AFA" w:rsidRPr="00B17F07" w:rsidRDefault="00A94AFA" w:rsidP="00A94AFA">
            <w:pPr>
              <w:jc w:val="both"/>
            </w:pPr>
            <w:r w:rsidRPr="00B17F07">
              <w:t xml:space="preserve">4.1.3. Avaliar se o número de profissionais e sua qualificação são suficientes para atender </w:t>
            </w:r>
            <w:r w:rsidR="00DF16BF" w:rsidRPr="00B17F07">
              <w:t>à</w:t>
            </w:r>
            <w:r w:rsidRPr="00B17F07">
              <w:t xml:space="preserve">s necessidades </w:t>
            </w:r>
            <w:r w:rsidR="00652682">
              <w:t xml:space="preserve">da </w:t>
            </w:r>
            <w:r w:rsidRPr="00B17F07">
              <w:t>entidade contratante.</w:t>
            </w:r>
          </w:p>
          <w:p w:rsidR="00A94AFA" w:rsidRPr="00B17F07" w:rsidRDefault="00A94AFA" w:rsidP="00A94AFA">
            <w:pPr>
              <w:jc w:val="both"/>
            </w:pPr>
            <w:r w:rsidRPr="00B17F07">
              <w:t xml:space="preserve">4.2. Verificar se houve subcontratação dos serviços, atentando para o fato de que a subcontratação total, além de não ser permitida, pode indicar que a entidade foi utilizada para direcionamento da contratação e consequente fuga à licitação, com prejuízo dos princípios da impessoalidade e da moralidade administrativa. </w:t>
            </w:r>
          </w:p>
          <w:p w:rsidR="00F62388" w:rsidRPr="00B17F07" w:rsidRDefault="00A94AFA" w:rsidP="00A94AFA">
            <w:pPr>
              <w:widowControl w:val="0"/>
              <w:jc w:val="both"/>
            </w:pPr>
            <w:r w:rsidRPr="00B17F07">
              <w:t>4.3. Analisar os processos de contratação direta, observando possíveis direcionamentos da contratação, para favorecimento de determinado fornecedor.</w:t>
            </w:r>
          </w:p>
          <w:p w:rsidR="00A94AFA" w:rsidRPr="00B17F07" w:rsidRDefault="00A94AFA" w:rsidP="00A94AFA">
            <w:pPr>
              <w:jc w:val="both"/>
            </w:pPr>
            <w:r w:rsidRPr="00B17F07">
              <w:t xml:space="preserve">4.3.1. Identificar no estatuto da Sociedade Civil ou outra organização sem fins </w:t>
            </w:r>
            <w:proofErr w:type="gramStart"/>
            <w:r w:rsidRPr="00B17F07">
              <w:t>lucrativos contratada</w:t>
            </w:r>
            <w:proofErr w:type="gramEnd"/>
            <w:r w:rsidRPr="00B17F07">
              <w:t>, os nome</w:t>
            </w:r>
            <w:r w:rsidR="00652682">
              <w:t>s</w:t>
            </w:r>
            <w:r w:rsidRPr="00B17F07">
              <w:t xml:space="preserve"> dos sócios e dirigentes;</w:t>
            </w:r>
          </w:p>
          <w:p w:rsidR="00A94AFA" w:rsidRPr="00B17F07" w:rsidRDefault="00A94AFA" w:rsidP="00A94AFA">
            <w:pPr>
              <w:jc w:val="both"/>
            </w:pPr>
            <w:r w:rsidRPr="00B17F07">
              <w:t xml:space="preserve">4.3.2. Levantar o nome completo dos principais gestores e responsáveis pela área de licitações e/ou contratos do órgão/entidade contratante; </w:t>
            </w:r>
            <w:proofErr w:type="gramStart"/>
            <w:r w:rsidRPr="00B17F07">
              <w:t>e</w:t>
            </w:r>
            <w:proofErr w:type="gramEnd"/>
          </w:p>
          <w:p w:rsidR="00A94AFA" w:rsidRDefault="00A94AFA" w:rsidP="00A94AFA">
            <w:pPr>
              <w:jc w:val="both"/>
            </w:pPr>
            <w:r w:rsidRPr="00B17F07">
              <w:t>4.3.3. Verificar se algum gestor ou servidor do órgão contratante é também sócio ou dirigente da entidade contratada ou se existe relação de parentesco entre indivíduos do órgão contratante e da entidade contratada por dispensa de licitação.</w:t>
            </w:r>
          </w:p>
          <w:p w:rsidR="00652682" w:rsidRPr="00652682" w:rsidRDefault="00652682" w:rsidP="00A94AFA">
            <w:pPr>
              <w:jc w:val="both"/>
              <w:rPr>
                <w:b/>
              </w:rPr>
            </w:pPr>
            <w:r w:rsidRPr="00652682">
              <w:rPr>
                <w:b/>
              </w:rPr>
              <w:t>Regularidade jurídico-fiscal da entidade contratada</w:t>
            </w:r>
          </w:p>
          <w:p w:rsidR="00A94AFA" w:rsidRPr="00B17F07" w:rsidRDefault="00A94AFA" w:rsidP="00A94AFA">
            <w:pPr>
              <w:jc w:val="both"/>
            </w:pPr>
            <w:r w:rsidRPr="00B17F07">
              <w:t xml:space="preserve">4.4. Verificar a regularidade jurídico-fiscal de entidade contratada por dispensa. </w:t>
            </w:r>
          </w:p>
          <w:p w:rsidR="00652682" w:rsidRDefault="007C0393" w:rsidP="00652682">
            <w:pPr>
              <w:jc w:val="both"/>
            </w:pPr>
            <w:r w:rsidRPr="00B17F07">
              <w:t>4.4.1. Pesquisar pela inscrição estadual nos sítios das Secretarias de Fazendas estaduais ou no sítio do Sistema Integrado de Informações sobre Operações Interestaduais com Mercadorias e Serviços (www.sintegra.gov.br</w:t>
            </w:r>
            <w:proofErr w:type="gramStart"/>
            <w:r w:rsidRPr="00B17F07">
              <w:t xml:space="preserve"> )</w:t>
            </w:r>
            <w:proofErr w:type="gramEnd"/>
            <w:r w:rsidRPr="00B17F07">
              <w:t>.</w:t>
            </w:r>
          </w:p>
          <w:p w:rsidR="004206ED" w:rsidRPr="00B17F07" w:rsidRDefault="004206ED" w:rsidP="00652682">
            <w:pPr>
              <w:jc w:val="both"/>
            </w:pPr>
            <w:r w:rsidRPr="00B17F07">
              <w:t>4.4.2. Em caso de suspeita quanto à regularidade fiscal de contratada, pesquisar a situação cadastral no sítio da Receita Federal do Brasil (http://www.receita.fazenda.gov.br), observando:</w:t>
            </w:r>
          </w:p>
          <w:p w:rsidR="00A94AFA" w:rsidRPr="00B17F07" w:rsidRDefault="00A94AFA" w:rsidP="00A94AFA">
            <w:pPr>
              <w:widowControl w:val="0"/>
              <w:jc w:val="both"/>
              <w:rPr>
                <w:b/>
                <w:snapToGrid w:val="0"/>
              </w:rPr>
            </w:pPr>
          </w:p>
        </w:tc>
        <w:tc>
          <w:tcPr>
            <w:tcW w:w="788" w:type="pct"/>
          </w:tcPr>
          <w:p w:rsidR="00F62388" w:rsidRPr="00B17F07" w:rsidRDefault="00254B5F" w:rsidP="00F62388">
            <w:pPr>
              <w:jc w:val="both"/>
            </w:pPr>
            <w:r w:rsidRPr="00B17F07">
              <w:t>A12</w:t>
            </w:r>
            <w:r w:rsidR="00DF16BF" w:rsidRPr="00B17F07">
              <w:t xml:space="preserve"> -</w:t>
            </w:r>
            <w:proofErr w:type="gramStart"/>
            <w:r w:rsidR="00DF16BF" w:rsidRPr="00B17F07">
              <w:t xml:space="preserve"> </w:t>
            </w:r>
            <w:r w:rsidR="00F62388" w:rsidRPr="00B17F07">
              <w:t xml:space="preserve"> </w:t>
            </w:r>
            <w:proofErr w:type="gramEnd"/>
            <w:r w:rsidR="00F62388" w:rsidRPr="00B17F07">
              <w:t xml:space="preserve">Contratação direta de empresas </w:t>
            </w:r>
            <w:r w:rsidR="00E83FBF">
              <w:t>inexistentes</w:t>
            </w:r>
            <w:r w:rsidR="00F62388" w:rsidRPr="00B17F07">
              <w:t>.</w:t>
            </w:r>
          </w:p>
          <w:p w:rsidR="00F62388" w:rsidRPr="00B17F07" w:rsidRDefault="00F62388" w:rsidP="00254B5F">
            <w:r w:rsidRPr="00B17F07">
              <w:t>A13</w:t>
            </w:r>
            <w:r w:rsidR="00DF16BF" w:rsidRPr="00B17F07">
              <w:t xml:space="preserve"> -</w:t>
            </w:r>
            <w:proofErr w:type="gramStart"/>
            <w:r w:rsidR="00DF16BF" w:rsidRPr="00B17F07">
              <w:t xml:space="preserve"> </w:t>
            </w:r>
            <w:r w:rsidRPr="00B17F07">
              <w:t xml:space="preserve"> </w:t>
            </w:r>
            <w:proofErr w:type="gramEnd"/>
            <w:r w:rsidRPr="00B17F07">
              <w:t>Inexecução total ou parcial do objeto contratado</w:t>
            </w:r>
            <w:r w:rsidR="00DF16BF" w:rsidRPr="00B17F07">
              <w:t>.</w:t>
            </w:r>
          </w:p>
        </w:tc>
      </w:tr>
      <w:tr w:rsidR="00A94AFA" w:rsidRPr="00B17F07" w:rsidTr="005D69E3">
        <w:trPr>
          <w:cantSplit/>
        </w:trPr>
        <w:tc>
          <w:tcPr>
            <w:tcW w:w="706" w:type="pct"/>
          </w:tcPr>
          <w:p w:rsidR="00A94AFA" w:rsidRPr="00B17F07" w:rsidRDefault="00A94AFA" w:rsidP="00F62388">
            <w:pPr>
              <w:rPr>
                <w:snapToGrid w:val="0"/>
                <w:color w:val="000000"/>
              </w:rPr>
            </w:pPr>
          </w:p>
        </w:tc>
        <w:tc>
          <w:tcPr>
            <w:tcW w:w="713" w:type="pct"/>
          </w:tcPr>
          <w:p w:rsidR="00A94AFA" w:rsidRPr="00B17F07" w:rsidRDefault="00A94AFA" w:rsidP="00E41E10">
            <w:pPr>
              <w:jc w:val="both"/>
            </w:pPr>
          </w:p>
        </w:tc>
        <w:tc>
          <w:tcPr>
            <w:tcW w:w="811" w:type="pct"/>
          </w:tcPr>
          <w:p w:rsidR="00A94AFA" w:rsidRPr="00B17F07" w:rsidRDefault="00A94AFA" w:rsidP="00F62388">
            <w:pPr>
              <w:jc w:val="both"/>
            </w:pPr>
          </w:p>
        </w:tc>
        <w:tc>
          <w:tcPr>
            <w:tcW w:w="1982" w:type="pct"/>
          </w:tcPr>
          <w:p w:rsidR="007C0393" w:rsidRPr="00B17F07" w:rsidRDefault="007C0393" w:rsidP="007C0393">
            <w:pPr>
              <w:spacing w:after="0"/>
              <w:jc w:val="both"/>
            </w:pPr>
            <w:r w:rsidRPr="00B17F07">
              <w:t xml:space="preserve">a) existência do número de inscrição no CNPJ e do nome empresarial ou razão social; </w:t>
            </w:r>
          </w:p>
          <w:p w:rsidR="007C0393" w:rsidRPr="00B17F07" w:rsidRDefault="007C0393" w:rsidP="007C0393">
            <w:pPr>
              <w:spacing w:after="0"/>
              <w:jc w:val="both"/>
            </w:pPr>
            <w:r w:rsidRPr="00B17F07">
              <w:t xml:space="preserve">b) data da abertura da empresa; </w:t>
            </w:r>
          </w:p>
          <w:p w:rsidR="007C0393" w:rsidRPr="00B17F07" w:rsidRDefault="007C0393" w:rsidP="007C0393">
            <w:pPr>
              <w:spacing w:after="0"/>
              <w:jc w:val="both"/>
            </w:pPr>
            <w:r w:rsidRPr="00B17F07">
              <w:t xml:space="preserve">c) código e descrição da atividade econômica principal; </w:t>
            </w:r>
          </w:p>
          <w:p w:rsidR="007C0393" w:rsidRPr="00B17F07" w:rsidRDefault="007C0393" w:rsidP="007C0393">
            <w:pPr>
              <w:jc w:val="both"/>
            </w:pPr>
            <w:r w:rsidRPr="00B17F07">
              <w:t>d) endereço e situação cadastral atual.</w:t>
            </w:r>
          </w:p>
          <w:p w:rsidR="007C0393" w:rsidRPr="00B17F07" w:rsidRDefault="007C0393" w:rsidP="007C0393">
            <w:pPr>
              <w:spacing w:after="0"/>
              <w:jc w:val="both"/>
            </w:pPr>
            <w:r w:rsidRPr="00B17F07">
              <w:t>4.5. Em caso de suspeita de empresas sem existência jurídica, diligenciar a Junta Comercial</w:t>
            </w:r>
            <w:r w:rsidR="005A7BCB" w:rsidRPr="00B17F07">
              <w:t xml:space="preserve"> (</w:t>
            </w:r>
            <w:r w:rsidRPr="00B17F07">
              <w:t>no caso de empresa comercial</w:t>
            </w:r>
            <w:r w:rsidR="005A7BCB" w:rsidRPr="00B17F07">
              <w:t>)</w:t>
            </w:r>
            <w:r w:rsidRPr="00B17F07">
              <w:t xml:space="preserve"> e/ou Cartórios de Registro das Pessoas Jurídicas</w:t>
            </w:r>
            <w:r w:rsidR="005A7BCB" w:rsidRPr="00B17F07">
              <w:t xml:space="preserve"> (</w:t>
            </w:r>
            <w:r w:rsidRPr="00B17F07">
              <w:t>no caso de Sociedade Civil e organizações outras sem fins lucrativos</w:t>
            </w:r>
            <w:r w:rsidR="005A7BCB" w:rsidRPr="00B17F07">
              <w:t>)</w:t>
            </w:r>
            <w:r w:rsidRPr="00B17F07">
              <w:t xml:space="preserve">, solicitando o extrato da empresa, a fim de: </w:t>
            </w:r>
          </w:p>
          <w:p w:rsidR="007C0393" w:rsidRPr="00B17F07" w:rsidRDefault="007C0393" w:rsidP="007C0393">
            <w:pPr>
              <w:spacing w:after="0"/>
              <w:jc w:val="both"/>
            </w:pPr>
            <w:r w:rsidRPr="00B17F07">
              <w:t>a) verificar o registro da empresa para confirmar a existência e a ocorrência de possíveis alterações de endereço</w:t>
            </w:r>
            <w:r w:rsidR="005A7BCB" w:rsidRPr="00B17F07">
              <w:t>;</w:t>
            </w:r>
          </w:p>
          <w:p w:rsidR="007E74A9" w:rsidRPr="00B17F07" w:rsidRDefault="007C0393">
            <w:pPr>
              <w:spacing w:after="0"/>
              <w:jc w:val="both"/>
            </w:pPr>
            <w:r w:rsidRPr="00B17F07">
              <w:t>b) verificar a regularidade de sua constituição e do funcionamento à época da contratação e da execução dos serviços</w:t>
            </w:r>
            <w:r w:rsidR="005A7BCB" w:rsidRPr="00B17F07">
              <w:t>;</w:t>
            </w:r>
            <w:r w:rsidR="005A7BCB" w:rsidRPr="00B17F07" w:rsidDel="005A7BCB">
              <w:t xml:space="preserve"> </w:t>
            </w:r>
          </w:p>
          <w:p w:rsidR="00FE7286" w:rsidRPr="00B17F07" w:rsidRDefault="007C0393">
            <w:pPr>
              <w:spacing w:after="0"/>
              <w:jc w:val="both"/>
            </w:pPr>
            <w:r w:rsidRPr="00B17F07">
              <w:t>c) obter informações sobre a razão social e sobre os dados societários.</w:t>
            </w:r>
          </w:p>
          <w:p w:rsidR="00C9369E" w:rsidRPr="00B17F07" w:rsidRDefault="00C9369E">
            <w:pPr>
              <w:spacing w:after="0"/>
              <w:jc w:val="both"/>
              <w:rPr>
                <w:b/>
              </w:rPr>
            </w:pPr>
          </w:p>
          <w:p w:rsidR="007C0393" w:rsidRPr="00B17F07" w:rsidRDefault="007C0393" w:rsidP="001B0137">
            <w:pPr>
              <w:jc w:val="both"/>
            </w:pPr>
            <w:r w:rsidRPr="00B17F07">
              <w:t xml:space="preserve">4.5.1. Com os dados obtidos no procedimento acima, ir ao endereço, se possível e necessário, da empresa contratada. </w:t>
            </w:r>
          </w:p>
          <w:p w:rsidR="007C0393" w:rsidRPr="00B17F07" w:rsidRDefault="007C0393" w:rsidP="001B0137">
            <w:pPr>
              <w:jc w:val="both"/>
            </w:pPr>
            <w:r w:rsidRPr="00B17F07">
              <w:t>4.5.2. Se não for constatada a existência real da empresa, entrevistar moradores da vizinhança, de maneira a formar convicção quanto à existência ou não da empresa contratada.</w:t>
            </w:r>
          </w:p>
          <w:p w:rsidR="001B0137" w:rsidRPr="00B17F07" w:rsidRDefault="007C0393" w:rsidP="007C0393">
            <w:pPr>
              <w:jc w:val="both"/>
            </w:pPr>
            <w:r w:rsidRPr="00B17F07">
              <w:t>4.5.3. Se não for possível a ida ao local de potencial funcionamento da entidade contratada, a confirmação de existência real deve ser buscada por intermédio de entrevistas telefônicas com os vizinhos a fim de colher informações sobre o funcionamento (ou não) da contratada ou, ainda, diligenciar os órgãos estaduais e municipais de fazenda quanto à regularidade cadastral e de documentos fiscais emitidos pela contratada.</w:t>
            </w:r>
          </w:p>
          <w:p w:rsidR="007C0393" w:rsidRPr="00B17F07" w:rsidRDefault="004206ED" w:rsidP="009B332F">
            <w:pPr>
              <w:jc w:val="both"/>
            </w:pPr>
            <w:r w:rsidRPr="00B17F07">
              <w:t>4.</w:t>
            </w:r>
            <w:r w:rsidR="009B332F" w:rsidRPr="00B17F07">
              <w:t>6</w:t>
            </w:r>
            <w:r w:rsidRPr="00B17F07">
              <w:t xml:space="preserve">. Comprovar o fornecimento do bem ou serviço, conforme especificado no contrato, solicitando </w:t>
            </w:r>
            <w:proofErr w:type="spellStart"/>
            <w:r w:rsidRPr="00B17F07">
              <w:t>atestos</w:t>
            </w:r>
            <w:proofErr w:type="spellEnd"/>
            <w:r w:rsidRPr="00B17F07">
              <w:t xml:space="preserve"> de recebimento ou outros documentos comprobatórios da efetiva execução do objeto pela empresa.</w:t>
            </w:r>
          </w:p>
        </w:tc>
        <w:tc>
          <w:tcPr>
            <w:tcW w:w="788" w:type="pct"/>
          </w:tcPr>
          <w:p w:rsidR="00A94AFA" w:rsidRPr="00B17F07" w:rsidRDefault="00A94AFA" w:rsidP="00F62388">
            <w:pPr>
              <w:jc w:val="both"/>
            </w:pPr>
          </w:p>
        </w:tc>
      </w:tr>
      <w:tr w:rsidR="00FB1A63" w:rsidRPr="00B17F07" w:rsidTr="005D69E3">
        <w:trPr>
          <w:cantSplit/>
        </w:trPr>
        <w:tc>
          <w:tcPr>
            <w:tcW w:w="706" w:type="pct"/>
          </w:tcPr>
          <w:p w:rsidR="00FB1A63" w:rsidRPr="00B17F07" w:rsidRDefault="00FB1A63" w:rsidP="00A94AFA">
            <w:r w:rsidRPr="00B17F07">
              <w:lastRenderedPageBreak/>
              <w:t>Q</w:t>
            </w:r>
            <w:r w:rsidR="00A94AFA" w:rsidRPr="00B17F07">
              <w:t>5</w:t>
            </w:r>
            <w:r w:rsidRPr="00B17F07">
              <w:t xml:space="preserve">. </w:t>
            </w:r>
            <w:r w:rsidR="00B3794C" w:rsidRPr="00B17F07">
              <w:t>A inviabilidade de competição está devidamente caracterizada e justificada no processo para as contratações por inexigibilidade de licitação (art. 25 da Lei 8.666/1993)?</w:t>
            </w:r>
          </w:p>
        </w:tc>
        <w:tc>
          <w:tcPr>
            <w:tcW w:w="713" w:type="pct"/>
          </w:tcPr>
          <w:p w:rsidR="00FB1A63" w:rsidRPr="00B17F07" w:rsidRDefault="00FB1A63" w:rsidP="00CD66F2">
            <w:r w:rsidRPr="00B17F07">
              <w:t>Fundamentação (razões) da contratação direta.</w:t>
            </w:r>
          </w:p>
          <w:p w:rsidR="00B3794C" w:rsidRPr="00B17F07" w:rsidRDefault="00B3794C" w:rsidP="00B3794C">
            <w:pPr>
              <w:jc w:val="both"/>
            </w:pPr>
            <w:r w:rsidRPr="00B17F07">
              <w:t xml:space="preserve">Comprovação da exclusividade. </w:t>
            </w:r>
          </w:p>
          <w:p w:rsidR="00B3794C" w:rsidRPr="00B17F07" w:rsidRDefault="00B3794C" w:rsidP="00B3794C">
            <w:pPr>
              <w:jc w:val="both"/>
            </w:pPr>
            <w:r w:rsidRPr="00B17F07">
              <w:t xml:space="preserve">Identificação dos integrantes da equipe, no caso de contratação de serviços técnicos especializados. </w:t>
            </w:r>
          </w:p>
          <w:p w:rsidR="00FB1A63" w:rsidRPr="00B17F07" w:rsidRDefault="00B3794C" w:rsidP="00B3794C">
            <w:r w:rsidRPr="00B17F07">
              <w:t>Consagração do profissional no setor artístico.</w:t>
            </w:r>
          </w:p>
        </w:tc>
        <w:tc>
          <w:tcPr>
            <w:tcW w:w="811" w:type="pct"/>
          </w:tcPr>
          <w:p w:rsidR="00FB1A63" w:rsidRPr="00B17F07" w:rsidRDefault="00FB1A63" w:rsidP="00CD66F2">
            <w:r w:rsidRPr="00B17F07">
              <w:t>Pareceres quanto à contratação direta.</w:t>
            </w:r>
          </w:p>
          <w:p w:rsidR="00FB1A63" w:rsidRPr="00B17F07" w:rsidRDefault="00FB1A63" w:rsidP="00CD66F2">
            <w:r w:rsidRPr="00B17F07">
              <w:t xml:space="preserve">Atestado de exclusividade. </w:t>
            </w:r>
          </w:p>
          <w:p w:rsidR="00B3794C" w:rsidRPr="00B17F07" w:rsidRDefault="00B3794C" w:rsidP="00B3794C">
            <w:pPr>
              <w:jc w:val="both"/>
            </w:pPr>
            <w:r w:rsidRPr="00B17F07">
              <w:t xml:space="preserve">Processos de inexigibilidade. </w:t>
            </w:r>
          </w:p>
          <w:p w:rsidR="00B3794C" w:rsidRPr="00B17F07" w:rsidRDefault="00B3794C" w:rsidP="00B3794C">
            <w:r w:rsidRPr="00B17F07">
              <w:t>Crítica especializada/mídia</w:t>
            </w:r>
          </w:p>
        </w:tc>
        <w:tc>
          <w:tcPr>
            <w:tcW w:w="1982" w:type="pct"/>
          </w:tcPr>
          <w:p w:rsidR="00B34328" w:rsidRPr="00B17F07" w:rsidRDefault="00B34328" w:rsidP="00B34328">
            <w:pPr>
              <w:widowControl w:val="0"/>
              <w:rPr>
                <w:b/>
                <w:snapToGrid w:val="0"/>
              </w:rPr>
            </w:pPr>
            <w:r w:rsidRPr="00B17F07">
              <w:rPr>
                <w:b/>
                <w:snapToGrid w:val="0"/>
              </w:rPr>
              <w:t>Regularidade das contratações por inexigibilidade</w:t>
            </w:r>
          </w:p>
          <w:p w:rsidR="00B34328" w:rsidRPr="00B17F07" w:rsidRDefault="00B34328" w:rsidP="00B3794C">
            <w:pPr>
              <w:widowControl w:val="0"/>
              <w:jc w:val="both"/>
              <w:rPr>
                <w:snapToGrid w:val="0"/>
              </w:rPr>
            </w:pPr>
            <w:r w:rsidRPr="00B17F07">
              <w:rPr>
                <w:snapToGrid w:val="0"/>
              </w:rPr>
              <w:t>5.1. Com base na motivação expressa no processo para a realização da aquisição ou mesmo na caracterização do objeto, avaliar os fundamentos lançados para sustentar a inexigibilidade e se restou comprovada de forma consistente a inviabilidade de competição.</w:t>
            </w:r>
          </w:p>
          <w:p w:rsidR="00B34328" w:rsidRPr="00B17F07" w:rsidRDefault="00B34328" w:rsidP="00B3794C">
            <w:pPr>
              <w:widowControl w:val="0"/>
              <w:jc w:val="both"/>
              <w:rPr>
                <w:snapToGrid w:val="0"/>
              </w:rPr>
            </w:pPr>
            <w:r w:rsidRPr="00B17F07">
              <w:rPr>
                <w:snapToGrid w:val="0"/>
              </w:rPr>
              <w:t xml:space="preserve">5.2. No caso de fornecedor exclusivo, verificar a comprovação de exclusividade, a ser feita por meio de atestado fornecido pelo órgão de registro do comércio do local em que se realizaria a licitação ou a obra ou o serviço, pelo Sindicato, Federação ou Confederação Patronal, ou, ainda, pelas entidades equivalentes. </w:t>
            </w:r>
            <w:r w:rsidR="00B3794C" w:rsidRPr="00B17F07">
              <w:rPr>
                <w:snapToGrid w:val="0"/>
              </w:rPr>
              <w:t xml:space="preserve">É dever do agente público responsável pela contratação </w:t>
            </w:r>
            <w:proofErr w:type="gramStart"/>
            <w:r w:rsidR="00B3794C" w:rsidRPr="00B17F07">
              <w:rPr>
                <w:snapToGrid w:val="0"/>
              </w:rPr>
              <w:t>a</w:t>
            </w:r>
            <w:proofErr w:type="gramEnd"/>
            <w:r w:rsidR="00B3794C" w:rsidRPr="00B17F07">
              <w:rPr>
                <w:snapToGrid w:val="0"/>
              </w:rPr>
              <w:t xml:space="preserve"> adoção das providências necessárias para confirmar a veracidade da documentação comprobatória da condição de exclusividade (Súmula - TCU 255). Em caso de ocorrências de falsidade dos </w:t>
            </w:r>
            <w:proofErr w:type="gramStart"/>
            <w:r w:rsidR="00B3794C" w:rsidRPr="00B17F07">
              <w:rPr>
                <w:snapToGrid w:val="0"/>
              </w:rPr>
              <w:t>atestados/certificados</w:t>
            </w:r>
            <w:proofErr w:type="gramEnd"/>
            <w:r w:rsidR="00B3794C" w:rsidRPr="00B17F07">
              <w:rPr>
                <w:snapToGrid w:val="0"/>
              </w:rPr>
              <w:t xml:space="preserve">, </w:t>
            </w:r>
            <w:proofErr w:type="spellStart"/>
            <w:r w:rsidR="00B3794C" w:rsidRPr="00B17F07">
              <w:rPr>
                <w:snapToGrid w:val="0"/>
              </w:rPr>
              <w:t>circularizar</w:t>
            </w:r>
            <w:proofErr w:type="spellEnd"/>
            <w:r w:rsidR="00B3794C" w:rsidRPr="00B17F07">
              <w:rPr>
                <w:snapToGrid w:val="0"/>
              </w:rPr>
              <w:t xml:space="preserve"> o órgão emitente para checar a veracidade das informações e autenticidade do documento.</w:t>
            </w:r>
            <w:r w:rsidRPr="00B17F07">
              <w:rPr>
                <w:snapToGrid w:val="0"/>
              </w:rPr>
              <w:t xml:space="preserve"> </w:t>
            </w:r>
          </w:p>
          <w:p w:rsidR="00B34328" w:rsidRPr="00B17F07" w:rsidRDefault="00B34328" w:rsidP="00B3794C">
            <w:pPr>
              <w:widowControl w:val="0"/>
              <w:jc w:val="both"/>
              <w:rPr>
                <w:snapToGrid w:val="0"/>
              </w:rPr>
            </w:pPr>
            <w:r w:rsidRPr="00B17F07">
              <w:rPr>
                <w:snapToGrid w:val="0"/>
              </w:rPr>
              <w:t>5.3. No caso de serviços técnicos profissionais, verificar a singularidade do serviço e a notória especialização da empresa e/ou do profissional, atentando para os seguintes aspectos</w:t>
            </w:r>
            <w:r w:rsidR="00B3794C" w:rsidRPr="00B17F07">
              <w:rPr>
                <w:snapToGrid w:val="0"/>
              </w:rPr>
              <w:t>.</w:t>
            </w:r>
          </w:p>
          <w:p w:rsidR="00B3794C" w:rsidRPr="00B17F07" w:rsidRDefault="00B3794C" w:rsidP="00B3794C">
            <w:pPr>
              <w:jc w:val="both"/>
            </w:pPr>
            <w:r w:rsidRPr="00B17F07">
              <w:t>5.3.1. A inviabilidade de competição para a contratação de serviços técnicos, a que alude o inciso II do art. 25 da Lei 8.666/1993, decorre da presença simultânea de três requisitos (Súmula - TCU 252):</w:t>
            </w:r>
          </w:p>
          <w:p w:rsidR="003C1558" w:rsidRPr="00B17F07" w:rsidRDefault="003C1558" w:rsidP="003C1558">
            <w:pPr>
              <w:jc w:val="both"/>
            </w:pPr>
            <w:r w:rsidRPr="00B17F07">
              <w:t>a) serviço técnico especializado, entre os mencionados no art. 13 da referida lei: estudos técnicos, planejamentos e projetos básicos ou executivos; pareceres, perícias e avaliações em geral; assessorias ou consultorias técnicas e auditorias financeiras ou tributárias; fiscalização, supervisão ou gerenciamento de obras ou serviços; patrocínio ou defesa de causas judiciais ou administrativas; treinamento e aperfeiçoamento de pessoal; restauração de obras de arte e bens de valor histórico.</w:t>
            </w:r>
          </w:p>
          <w:p w:rsidR="003C1558" w:rsidRPr="00B17F07" w:rsidRDefault="003C1558" w:rsidP="003C1558">
            <w:pPr>
              <w:jc w:val="both"/>
            </w:pPr>
            <w:r w:rsidRPr="00B17F07">
              <w:t xml:space="preserve">b) natureza singular do serviço; </w:t>
            </w:r>
            <w:proofErr w:type="gramStart"/>
            <w:r w:rsidRPr="00B17F07">
              <w:t>e</w:t>
            </w:r>
            <w:proofErr w:type="gramEnd"/>
          </w:p>
          <w:p w:rsidR="00FB1A63" w:rsidRPr="00B17F07" w:rsidRDefault="003C1558" w:rsidP="003C1558">
            <w:pPr>
              <w:jc w:val="both"/>
            </w:pPr>
            <w:r w:rsidRPr="00B17F07">
              <w:t>c) notória especialização do contratado.</w:t>
            </w:r>
          </w:p>
        </w:tc>
        <w:tc>
          <w:tcPr>
            <w:tcW w:w="788" w:type="pct"/>
          </w:tcPr>
          <w:p w:rsidR="00FB1A63" w:rsidRPr="00B17F07" w:rsidRDefault="00FB1A63" w:rsidP="00FB1A63">
            <w:pPr>
              <w:widowControl w:val="0"/>
              <w:rPr>
                <w:snapToGrid w:val="0"/>
              </w:rPr>
            </w:pPr>
            <w:r w:rsidRPr="00B17F07">
              <w:rPr>
                <w:snapToGrid w:val="0"/>
              </w:rPr>
              <w:t>A1</w:t>
            </w:r>
            <w:r w:rsidR="005F39EA" w:rsidRPr="00B17F07">
              <w:rPr>
                <w:snapToGrid w:val="0"/>
              </w:rPr>
              <w:t>4</w:t>
            </w:r>
            <w:r w:rsidR="005A7BCB" w:rsidRPr="00B17F07">
              <w:rPr>
                <w:snapToGrid w:val="0"/>
              </w:rPr>
              <w:t xml:space="preserve"> - </w:t>
            </w:r>
            <w:r w:rsidRPr="00B17F07">
              <w:rPr>
                <w:snapToGrid w:val="0"/>
              </w:rPr>
              <w:t xml:space="preserve">Contratações diretas </w:t>
            </w:r>
            <w:r w:rsidR="00E83FBF">
              <w:rPr>
                <w:snapToGrid w:val="0"/>
              </w:rPr>
              <w:t>(</w:t>
            </w:r>
            <w:r w:rsidR="00E83FBF" w:rsidRPr="00B17F07">
              <w:rPr>
                <w:snapToGrid w:val="0"/>
                <w:color w:val="000000"/>
              </w:rPr>
              <w:t>por inexigibilidade</w:t>
            </w:r>
            <w:r w:rsidR="00E83FBF">
              <w:rPr>
                <w:snapToGrid w:val="0"/>
                <w:color w:val="000000"/>
              </w:rPr>
              <w:t>)</w:t>
            </w:r>
            <w:r w:rsidR="00E83FBF" w:rsidRPr="00B17F07">
              <w:rPr>
                <w:snapToGrid w:val="0"/>
                <w:color w:val="000000"/>
              </w:rPr>
              <w:t xml:space="preserve"> </w:t>
            </w:r>
            <w:r w:rsidRPr="00B17F07">
              <w:rPr>
                <w:snapToGrid w:val="0"/>
              </w:rPr>
              <w:t>não justificadas ou indevidamente fundamentadas.</w:t>
            </w:r>
          </w:p>
          <w:p w:rsidR="00FB1A63" w:rsidRPr="00B17F07" w:rsidRDefault="00FB1A63" w:rsidP="005F39EA">
            <w:pPr>
              <w:rPr>
                <w:snapToGrid w:val="0"/>
                <w:color w:val="000000"/>
              </w:rPr>
            </w:pPr>
            <w:r w:rsidRPr="00B17F07">
              <w:rPr>
                <w:snapToGrid w:val="0"/>
                <w:color w:val="000000"/>
              </w:rPr>
              <w:t>A1</w:t>
            </w:r>
            <w:r w:rsidR="005F39EA" w:rsidRPr="00B17F07">
              <w:rPr>
                <w:snapToGrid w:val="0"/>
                <w:color w:val="000000"/>
              </w:rPr>
              <w:t>5</w:t>
            </w:r>
            <w:r w:rsidRPr="00B17F07">
              <w:rPr>
                <w:snapToGrid w:val="0"/>
                <w:color w:val="000000"/>
              </w:rPr>
              <w:t xml:space="preserve"> </w:t>
            </w:r>
            <w:r w:rsidR="005A7BCB" w:rsidRPr="00B17F07">
              <w:rPr>
                <w:snapToGrid w:val="0"/>
                <w:color w:val="000000"/>
              </w:rPr>
              <w:t xml:space="preserve">- </w:t>
            </w:r>
            <w:r w:rsidRPr="00B17F07">
              <w:rPr>
                <w:snapToGrid w:val="0"/>
                <w:color w:val="000000"/>
              </w:rPr>
              <w:t>Contratação irregular por inexigibilidade de licitação.</w:t>
            </w:r>
          </w:p>
        </w:tc>
      </w:tr>
      <w:tr w:rsidR="00B3794C" w:rsidRPr="00B17F07" w:rsidTr="005D69E3">
        <w:trPr>
          <w:cantSplit/>
        </w:trPr>
        <w:tc>
          <w:tcPr>
            <w:tcW w:w="706" w:type="pct"/>
          </w:tcPr>
          <w:p w:rsidR="00B3794C" w:rsidRPr="00B17F07" w:rsidRDefault="00B3794C" w:rsidP="00A94AFA"/>
        </w:tc>
        <w:tc>
          <w:tcPr>
            <w:tcW w:w="713" w:type="pct"/>
          </w:tcPr>
          <w:p w:rsidR="00B3794C" w:rsidRPr="00B17F07" w:rsidRDefault="00B3794C" w:rsidP="00CD66F2"/>
        </w:tc>
        <w:tc>
          <w:tcPr>
            <w:tcW w:w="811" w:type="pct"/>
          </w:tcPr>
          <w:p w:rsidR="00B3794C" w:rsidRPr="00B17F07" w:rsidRDefault="00B3794C" w:rsidP="00CD66F2"/>
        </w:tc>
        <w:tc>
          <w:tcPr>
            <w:tcW w:w="1982" w:type="pct"/>
          </w:tcPr>
          <w:p w:rsidR="003C1558" w:rsidRPr="00B17F07" w:rsidRDefault="003C1558" w:rsidP="003C1558">
            <w:pPr>
              <w:jc w:val="both"/>
            </w:pPr>
            <w:r w:rsidRPr="00B17F07">
              <w:t xml:space="preserve">5.3.2. Atentar para os seguintes aspectos: </w:t>
            </w:r>
          </w:p>
          <w:p w:rsidR="00B3794C" w:rsidRPr="00B17F07" w:rsidRDefault="003C1558" w:rsidP="003C1558">
            <w:pPr>
              <w:widowControl w:val="0"/>
              <w:jc w:val="both"/>
              <w:rPr>
                <w:snapToGrid w:val="0"/>
              </w:rPr>
            </w:pPr>
            <w:r w:rsidRPr="00B17F07">
              <w:rPr>
                <w:snapToGrid w:val="0"/>
              </w:rPr>
              <w:t>a)</w:t>
            </w:r>
            <w:r w:rsidR="00B3794C" w:rsidRPr="00B17F07">
              <w:rPr>
                <w:snapToGrid w:val="0"/>
              </w:rPr>
              <w:t xml:space="preserve"> Para a contratação de advogados, examinar os fundamentos para contratação destes, com base na inexigibilidade, pois os serviços advocatícios devem ser licitados e os casos de inexigibilidade são exceção à regra geral de licitar. </w:t>
            </w:r>
          </w:p>
          <w:p w:rsidR="00B3794C" w:rsidRPr="00B17F07" w:rsidRDefault="003C1558" w:rsidP="003C1558">
            <w:pPr>
              <w:jc w:val="both"/>
            </w:pPr>
            <w:r w:rsidRPr="00B17F07">
              <w:t>b) P</w:t>
            </w:r>
            <w:r w:rsidR="00B3794C" w:rsidRPr="00B17F07">
              <w:t xml:space="preserve">ara a contratação com vistas à realização de concurso público ou vestibular, em função da não caracterização da natureza singular desse serviço. </w:t>
            </w:r>
          </w:p>
          <w:p w:rsidR="00B3794C" w:rsidRPr="00B17F07" w:rsidRDefault="003C1558" w:rsidP="003C1558">
            <w:pPr>
              <w:widowControl w:val="0"/>
              <w:jc w:val="both"/>
            </w:pPr>
            <w:r w:rsidRPr="00B17F07">
              <w:t>c)</w:t>
            </w:r>
            <w:r w:rsidR="00B3794C" w:rsidRPr="00B17F07">
              <w:t xml:space="preserve"> Em procedimento de inexigibilidade de licitação que vise a contratar a prestação de serviços técnicos especializados, caso o fornecedor apresente relação de integrantes de seu corpo técnico, como elemento de justificativa da contratação, levantar evidências de que os técnicos indicados realizaram pessoal e diretamente os serviços objeto do contrato, mediante, dentre outros procedimentos, entrevista com os profissionais ou clientes do órgão contratante, inspeção de documentos elaborados e assinados pelos respectivos profissionais e comprovantes de deslocamento e refeição, etc.</w:t>
            </w:r>
          </w:p>
          <w:p w:rsidR="003C1558" w:rsidRPr="00B17F07" w:rsidRDefault="003C1558" w:rsidP="003C1558">
            <w:pPr>
              <w:widowControl w:val="0"/>
              <w:jc w:val="both"/>
              <w:rPr>
                <w:b/>
                <w:snapToGrid w:val="0"/>
              </w:rPr>
            </w:pPr>
            <w:r w:rsidRPr="00B17F07">
              <w:t>5.3.3. Verificar, no caso de contratação de profissional de setor artístico, a consagração deste na crítica especializada e na mídia.</w:t>
            </w:r>
          </w:p>
        </w:tc>
        <w:tc>
          <w:tcPr>
            <w:tcW w:w="788" w:type="pct"/>
          </w:tcPr>
          <w:p w:rsidR="00B3794C" w:rsidRPr="00B17F07" w:rsidRDefault="00B3794C" w:rsidP="00FB1A63">
            <w:pPr>
              <w:widowControl w:val="0"/>
              <w:rPr>
                <w:snapToGrid w:val="0"/>
              </w:rPr>
            </w:pPr>
          </w:p>
        </w:tc>
      </w:tr>
      <w:tr w:rsidR="00FB1A63" w:rsidRPr="00B17F07" w:rsidTr="00F03BA9">
        <w:trPr>
          <w:cantSplit/>
        </w:trPr>
        <w:tc>
          <w:tcPr>
            <w:tcW w:w="706" w:type="pct"/>
          </w:tcPr>
          <w:p w:rsidR="00FB1A63" w:rsidRPr="00B17F07" w:rsidRDefault="00FB1A63" w:rsidP="00461311">
            <w:r w:rsidRPr="00B17F07">
              <w:lastRenderedPageBreak/>
              <w:t xml:space="preserve">Q6. O processo de inexigibilidade de licitação apresenta justificativa de preço que evidencie a razoabilidade dos preços contratados? </w:t>
            </w:r>
          </w:p>
        </w:tc>
        <w:tc>
          <w:tcPr>
            <w:tcW w:w="713" w:type="pct"/>
          </w:tcPr>
          <w:p w:rsidR="00FB1A63" w:rsidRPr="00B17F07" w:rsidRDefault="00FB1A63" w:rsidP="00461311">
            <w:r w:rsidRPr="00B17F07">
              <w:t xml:space="preserve">Justificativas para os preços praticados </w:t>
            </w:r>
          </w:p>
          <w:p w:rsidR="00962405" w:rsidRPr="00B17F07" w:rsidRDefault="00962405" w:rsidP="00962405">
            <w:pPr>
              <w:jc w:val="both"/>
            </w:pPr>
            <w:r w:rsidRPr="00B17F07">
              <w:t xml:space="preserve">Orçamento da empresa contratada. </w:t>
            </w:r>
          </w:p>
          <w:p w:rsidR="00962405" w:rsidRPr="00B17F07" w:rsidRDefault="00962405" w:rsidP="00962405">
            <w:pPr>
              <w:jc w:val="both"/>
            </w:pPr>
            <w:r w:rsidRPr="00B17F07">
              <w:t xml:space="preserve">Pesquisa de preços realizada para justificar a contratação. </w:t>
            </w:r>
          </w:p>
          <w:p w:rsidR="00962405" w:rsidRPr="00B17F07" w:rsidRDefault="00962405" w:rsidP="00962405">
            <w:pPr>
              <w:jc w:val="both"/>
            </w:pPr>
            <w:r w:rsidRPr="00B17F07">
              <w:t>Preços praticados pela empresa em outras contratações para o mesmo objeto ou similar.</w:t>
            </w:r>
          </w:p>
          <w:p w:rsidR="00962405" w:rsidRPr="00B17F07" w:rsidRDefault="00962405" w:rsidP="00962405">
            <w:pPr>
              <w:jc w:val="both"/>
            </w:pPr>
            <w:r w:rsidRPr="00B17F07">
              <w:t xml:space="preserve">Preços praticados na contratação. </w:t>
            </w:r>
          </w:p>
          <w:p w:rsidR="00FB1A63" w:rsidRPr="00B17F07" w:rsidRDefault="00962405" w:rsidP="00962405">
            <w:r w:rsidRPr="00B17F07">
              <w:t>Preços praticados nos demais contratos da Administração Pública Federal.</w:t>
            </w:r>
          </w:p>
          <w:p w:rsidR="00FB1A63" w:rsidRPr="00B17F07" w:rsidRDefault="00FB1A63" w:rsidP="00461311"/>
        </w:tc>
        <w:tc>
          <w:tcPr>
            <w:tcW w:w="811" w:type="pct"/>
          </w:tcPr>
          <w:p w:rsidR="00FB1A63" w:rsidRPr="00B17F07" w:rsidRDefault="00FB1A63" w:rsidP="00461311">
            <w:r w:rsidRPr="00B17F07">
              <w:t xml:space="preserve">Pareceres emitidos, na parte relacionada às justificativas de preços. </w:t>
            </w:r>
          </w:p>
          <w:p w:rsidR="00962405" w:rsidRPr="00B17F07" w:rsidRDefault="00962405" w:rsidP="00962405">
            <w:pPr>
              <w:jc w:val="both"/>
            </w:pPr>
            <w:r w:rsidRPr="00B17F07">
              <w:t xml:space="preserve">Processos de inexigibilidade </w:t>
            </w:r>
          </w:p>
          <w:p w:rsidR="003751D7" w:rsidRPr="00B17F07" w:rsidRDefault="00CD1F89" w:rsidP="00962405">
            <w:pPr>
              <w:jc w:val="both"/>
            </w:pPr>
            <w:proofErr w:type="spellStart"/>
            <w:r w:rsidRPr="00B17F07">
              <w:t>Comprasnet</w:t>
            </w:r>
            <w:proofErr w:type="spellEnd"/>
            <w:r w:rsidRPr="00B17F07">
              <w:t>.</w:t>
            </w:r>
          </w:p>
          <w:p w:rsidR="00962405" w:rsidRPr="00B17F07" w:rsidRDefault="00CD1F89" w:rsidP="00962405">
            <w:pPr>
              <w:jc w:val="both"/>
            </w:pPr>
            <w:r w:rsidRPr="00B17F07">
              <w:t xml:space="preserve"> Empresa contratada.</w:t>
            </w:r>
          </w:p>
          <w:p w:rsidR="00962405" w:rsidRPr="00B17F07" w:rsidRDefault="00962405" w:rsidP="00962405">
            <w:r w:rsidRPr="00B17F07">
              <w:t>Termo contratual</w:t>
            </w:r>
            <w:r w:rsidR="005A7BCB" w:rsidRPr="00B17F07">
              <w:t>.</w:t>
            </w:r>
          </w:p>
          <w:p w:rsidR="00FB1A63" w:rsidRPr="00B17F07" w:rsidRDefault="00FB1A63" w:rsidP="00461311"/>
          <w:p w:rsidR="00FB1A63" w:rsidRPr="00B17F07" w:rsidRDefault="00FB1A63" w:rsidP="00461311"/>
        </w:tc>
        <w:tc>
          <w:tcPr>
            <w:tcW w:w="1982" w:type="pct"/>
          </w:tcPr>
          <w:p w:rsidR="00FB1A63" w:rsidRPr="00B17F07" w:rsidRDefault="009130ED" w:rsidP="00962405">
            <w:pPr>
              <w:widowControl w:val="0"/>
              <w:jc w:val="both"/>
              <w:rPr>
                <w:b/>
                <w:snapToGrid w:val="0"/>
              </w:rPr>
            </w:pPr>
            <w:r w:rsidRPr="00B17F07">
              <w:rPr>
                <w:b/>
                <w:snapToGrid w:val="0"/>
              </w:rPr>
              <w:t>A</w:t>
            </w:r>
            <w:r w:rsidR="00FB1A63" w:rsidRPr="00B17F07">
              <w:rPr>
                <w:b/>
                <w:snapToGrid w:val="0"/>
              </w:rPr>
              <w:t xml:space="preserve">dequação e razoabilidade dos preços em contratação direta por inexigibilidade </w:t>
            </w:r>
          </w:p>
          <w:p w:rsidR="00FB1A63" w:rsidRPr="00B17F07" w:rsidRDefault="00FB1A63" w:rsidP="00962405">
            <w:pPr>
              <w:widowControl w:val="0"/>
              <w:jc w:val="both"/>
              <w:rPr>
                <w:snapToGrid w:val="0"/>
              </w:rPr>
            </w:pPr>
            <w:r w:rsidRPr="00B17F07">
              <w:rPr>
                <w:snapToGrid w:val="0"/>
              </w:rPr>
              <w:t xml:space="preserve">6.1. Verificar se o processo da contratação apresenta justificativa de preço e/ou orçamento detalhado dos custos unitários, no caso de prestação de serviços. No caso de contratação por inexigibilidade de cursos, palestras, apresentações, shows, espetáculos ou eventos similares, verificar se foi demonstrado, a título de justificativa de preços, que o fornecedor cobra igual ou similar preço de outros com quem contrata para evento de mesmo porte. </w:t>
            </w:r>
          </w:p>
          <w:p w:rsidR="00FB1A63" w:rsidRPr="00B17F07" w:rsidRDefault="00FB1A63" w:rsidP="00962405">
            <w:pPr>
              <w:pStyle w:val="Cabealho"/>
              <w:tabs>
                <w:tab w:val="clear" w:pos="4419"/>
                <w:tab w:val="clear" w:pos="8838"/>
              </w:tabs>
              <w:jc w:val="both"/>
              <w:rPr>
                <w:sz w:val="20"/>
              </w:rPr>
            </w:pPr>
            <w:r w:rsidRPr="00B17F07">
              <w:rPr>
                <w:sz w:val="20"/>
              </w:rPr>
              <w:t>6.2. Identificar os itens relevantes do contrato</w:t>
            </w:r>
            <w:r w:rsidRPr="00B17F07">
              <w:rPr>
                <w:i/>
                <w:sz w:val="20"/>
              </w:rPr>
              <w:t>,</w:t>
            </w:r>
            <w:r w:rsidRPr="00B17F07">
              <w:rPr>
                <w:sz w:val="20"/>
              </w:rPr>
              <w:t xml:space="preserve"> realizar pesquisa de preços para os itens relevantes e confrontar os valores dos preços de mercado obtidos com aqueles do orçamento detalhado.</w:t>
            </w:r>
          </w:p>
          <w:p w:rsidR="00962405" w:rsidRPr="00B17F07" w:rsidRDefault="00962405" w:rsidP="00962405">
            <w:pPr>
              <w:jc w:val="both"/>
            </w:pPr>
            <w:r w:rsidRPr="00B17F07">
              <w:t>6.2.1. Observar os itens relevantes do contrato, isto é, aqueles que apresentam os maiores preços globais (preço unitário x quantidade) e realizar pesquisa de preços de mercado para eles</w:t>
            </w:r>
            <w:r w:rsidR="005A7BCB" w:rsidRPr="00B17F07">
              <w:t xml:space="preserve">, </w:t>
            </w:r>
            <w:r w:rsidRPr="00B17F07">
              <w:t>consulta</w:t>
            </w:r>
            <w:r w:rsidR="005A7BCB" w:rsidRPr="00B17F07">
              <w:t>ndo</w:t>
            </w:r>
            <w:r w:rsidRPr="00B17F07">
              <w:t xml:space="preserve"> outras empresas fornecedoras do </w:t>
            </w:r>
            <w:proofErr w:type="gramStart"/>
            <w:r w:rsidRPr="00B17F07">
              <w:t>mesmo bem/serviço, sites</w:t>
            </w:r>
            <w:proofErr w:type="gramEnd"/>
            <w:r w:rsidRPr="00B17F07">
              <w:t xml:space="preserve"> da internet (por exemplo, </w:t>
            </w:r>
            <w:proofErr w:type="spellStart"/>
            <w:r w:rsidRPr="00B17F07">
              <w:t>Comprasnet</w:t>
            </w:r>
            <w:proofErr w:type="spellEnd"/>
            <w:r w:rsidRPr="00B17F07">
              <w:t>)</w:t>
            </w:r>
            <w:r w:rsidR="005A7BCB" w:rsidRPr="00B17F07">
              <w:t xml:space="preserve"> e</w:t>
            </w:r>
            <w:r w:rsidRPr="00B17F07">
              <w:t xml:space="preserve"> órgão competente pela fixação de preços.</w:t>
            </w:r>
          </w:p>
          <w:p w:rsidR="00FB1A63" w:rsidRPr="00B17F07" w:rsidRDefault="00962405" w:rsidP="00962405">
            <w:pPr>
              <w:jc w:val="both"/>
            </w:pPr>
            <w:r w:rsidRPr="00B17F07">
              <w:t xml:space="preserve">6.2.2. </w:t>
            </w:r>
            <w:r w:rsidRPr="00B17F07">
              <w:rPr>
                <w:iCs/>
              </w:rPr>
              <w:t>Caso não seja possível verificar todos os itens e a amostra não tenha sido determinada durante o planejamento:</w:t>
            </w:r>
            <w:r w:rsidRPr="00B17F07">
              <w:t xml:space="preserve"> definir a amostra que </w:t>
            </w:r>
            <w:proofErr w:type="gramStart"/>
            <w:r w:rsidRPr="00B17F07">
              <w:t>será objeto</w:t>
            </w:r>
            <w:proofErr w:type="gramEnd"/>
            <w:r w:rsidRPr="00B17F07">
              <w:t xml:space="preserve"> de análise (tamanho da amostra, número de itens e procedimento de seleção), especificando os critérios (estatísticos ou de julgamento profissional) adotados.</w:t>
            </w:r>
          </w:p>
          <w:p w:rsidR="00FF4833" w:rsidRPr="00B17F07" w:rsidRDefault="00FF4833" w:rsidP="005A7BCB">
            <w:pPr>
              <w:jc w:val="both"/>
            </w:pPr>
            <w:r w:rsidRPr="00B17F07">
              <w:t xml:space="preserve">Atenção: </w:t>
            </w:r>
            <w:r w:rsidR="005A7BCB" w:rsidRPr="00B17F07">
              <w:t xml:space="preserve">Os </w:t>
            </w:r>
            <w:r w:rsidRPr="00B17F07">
              <w:t>parâmetros para os preços de mercado pode</w:t>
            </w:r>
            <w:r w:rsidR="00AA20B9" w:rsidRPr="00B17F07">
              <w:t>m</w:t>
            </w:r>
            <w:r w:rsidRPr="00B17F07">
              <w:t xml:space="preserve"> ser os preços praticados p</w:t>
            </w:r>
            <w:r w:rsidR="005A7BCB" w:rsidRPr="00B17F07">
              <w:t>or</w:t>
            </w:r>
            <w:r w:rsidRPr="00B17F07">
              <w:t xml:space="preserve"> particulares ou por outros órgãos da Administração Pública. Na ausência desses e de outros parâmetros, o contrato decorrente de inexigibilidade deverá ser praticado em condições econômicas similares com as adotadas pelo particular para o restante de sua atividade profissional.</w:t>
            </w:r>
          </w:p>
        </w:tc>
        <w:tc>
          <w:tcPr>
            <w:tcW w:w="788" w:type="pct"/>
          </w:tcPr>
          <w:p w:rsidR="00FB1A63" w:rsidRPr="00B17F07" w:rsidRDefault="006368C4" w:rsidP="00461311">
            <w:pPr>
              <w:rPr>
                <w:snapToGrid w:val="0"/>
                <w:color w:val="000000"/>
              </w:rPr>
            </w:pPr>
            <w:r w:rsidRPr="00B17F07">
              <w:rPr>
                <w:snapToGrid w:val="0"/>
                <w:color w:val="000000"/>
              </w:rPr>
              <w:t xml:space="preserve">A16 </w:t>
            </w:r>
            <w:r w:rsidR="005A7BCB" w:rsidRPr="00B17F07">
              <w:rPr>
                <w:snapToGrid w:val="0"/>
                <w:color w:val="000000"/>
              </w:rPr>
              <w:t xml:space="preserve">- </w:t>
            </w:r>
            <w:r w:rsidR="00FB1A63" w:rsidRPr="00B17F07">
              <w:rPr>
                <w:snapToGrid w:val="0"/>
                <w:color w:val="000000"/>
              </w:rPr>
              <w:t>Ausência de justificativa para preços praticados.</w:t>
            </w:r>
          </w:p>
          <w:p w:rsidR="00FB1A63" w:rsidRPr="00B17F07" w:rsidRDefault="00FB1A63" w:rsidP="00461311">
            <w:pPr>
              <w:rPr>
                <w:snapToGrid w:val="0"/>
                <w:color w:val="000000"/>
              </w:rPr>
            </w:pPr>
            <w:r w:rsidRPr="00B17F07">
              <w:rPr>
                <w:snapToGrid w:val="0"/>
                <w:color w:val="000000"/>
              </w:rPr>
              <w:t>A1</w:t>
            </w:r>
            <w:r w:rsidR="006368C4" w:rsidRPr="00B17F07">
              <w:rPr>
                <w:snapToGrid w:val="0"/>
                <w:color w:val="000000"/>
              </w:rPr>
              <w:t>7</w:t>
            </w:r>
            <w:r w:rsidRPr="00B17F07">
              <w:rPr>
                <w:snapToGrid w:val="0"/>
                <w:color w:val="000000"/>
              </w:rPr>
              <w:t xml:space="preserve"> </w:t>
            </w:r>
            <w:r w:rsidR="005A7BCB" w:rsidRPr="00B17F07">
              <w:rPr>
                <w:snapToGrid w:val="0"/>
                <w:color w:val="000000"/>
              </w:rPr>
              <w:t xml:space="preserve">- </w:t>
            </w:r>
            <w:r w:rsidRPr="00B17F07">
              <w:rPr>
                <w:snapToGrid w:val="0"/>
                <w:color w:val="000000"/>
              </w:rPr>
              <w:t>Justificativa de preços inadequada.</w:t>
            </w:r>
          </w:p>
          <w:p w:rsidR="00FB1A63" w:rsidRPr="00B17F07" w:rsidRDefault="00FB1A63" w:rsidP="00B44576">
            <w:pPr>
              <w:rPr>
                <w:snapToGrid w:val="0"/>
                <w:color w:val="000000"/>
              </w:rPr>
            </w:pPr>
            <w:r w:rsidRPr="00B17F07">
              <w:rPr>
                <w:snapToGrid w:val="0"/>
                <w:color w:val="000000"/>
              </w:rPr>
              <w:t>A</w:t>
            </w:r>
            <w:r w:rsidR="003A5BC9">
              <w:rPr>
                <w:snapToGrid w:val="0"/>
                <w:color w:val="000000"/>
              </w:rPr>
              <w:t>7</w:t>
            </w:r>
            <w:r w:rsidRPr="00B17F07">
              <w:rPr>
                <w:snapToGrid w:val="0"/>
                <w:color w:val="000000"/>
              </w:rPr>
              <w:t xml:space="preserve"> </w:t>
            </w:r>
            <w:r w:rsidR="005A7BCB" w:rsidRPr="00B17F07">
              <w:rPr>
                <w:snapToGrid w:val="0"/>
                <w:color w:val="000000"/>
              </w:rPr>
              <w:t xml:space="preserve">- </w:t>
            </w:r>
            <w:r w:rsidRPr="00B17F07">
              <w:rPr>
                <w:snapToGrid w:val="0"/>
                <w:color w:val="000000"/>
              </w:rPr>
              <w:t>Sobrepreço nas contratações diretas.</w:t>
            </w:r>
          </w:p>
          <w:p w:rsidR="00962405" w:rsidRPr="00B17F07" w:rsidRDefault="00962405" w:rsidP="003A5BC9">
            <w:pPr>
              <w:rPr>
                <w:snapToGrid w:val="0"/>
                <w:color w:val="000000"/>
                <w:highlight w:val="yellow"/>
              </w:rPr>
            </w:pPr>
            <w:r w:rsidRPr="00B17F07">
              <w:t>A</w:t>
            </w:r>
            <w:r w:rsidR="006368C4" w:rsidRPr="00B17F07">
              <w:t>1</w:t>
            </w:r>
            <w:r w:rsidR="003A5BC9">
              <w:t>0</w:t>
            </w:r>
            <w:r w:rsidRPr="00B17F07">
              <w:t xml:space="preserve"> </w:t>
            </w:r>
            <w:r w:rsidR="005A7BCB" w:rsidRPr="00B17F07">
              <w:t xml:space="preserve">- </w:t>
            </w:r>
            <w:r w:rsidRPr="00B17F07">
              <w:t>Ausência de orçamento detalhado em planilhas que expressem a composição de todos os custos unitários do objeto contratado</w:t>
            </w:r>
            <w:r w:rsidR="003751D7" w:rsidRPr="00B17F07">
              <w:t>.</w:t>
            </w:r>
          </w:p>
        </w:tc>
      </w:tr>
    </w:tbl>
    <w:p w:rsidR="00595711" w:rsidRPr="00210A7B" w:rsidRDefault="00595711" w:rsidP="005016C3">
      <w:pPr>
        <w:pStyle w:val="Ttulo2"/>
        <w:spacing w:after="0"/>
        <w:ind w:left="-425" w:firstLine="425"/>
        <w:rPr>
          <w:sz w:val="20"/>
        </w:rPr>
      </w:pPr>
    </w:p>
    <w:p w:rsidR="005B6D38" w:rsidRPr="00210A7B" w:rsidRDefault="005B6D38" w:rsidP="005016C3">
      <w:pPr>
        <w:pStyle w:val="Ttulo2"/>
        <w:spacing w:after="0"/>
        <w:ind w:left="-425" w:firstLine="425"/>
        <w:rPr>
          <w:sz w:val="20"/>
        </w:rPr>
      </w:pPr>
      <w:r w:rsidRPr="00210A7B">
        <w:rPr>
          <w:sz w:val="20"/>
        </w:rPr>
        <w:t>ESTIMATIVA DO CUSTO</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559"/>
        <w:gridCol w:w="1560"/>
        <w:gridCol w:w="1559"/>
        <w:gridCol w:w="1559"/>
        <w:gridCol w:w="1276"/>
        <w:gridCol w:w="1417"/>
        <w:gridCol w:w="1276"/>
        <w:gridCol w:w="1418"/>
        <w:gridCol w:w="1134"/>
      </w:tblGrid>
      <w:tr w:rsidR="005B6D38" w:rsidRPr="00210A7B" w:rsidTr="005016C3">
        <w:trPr>
          <w:trHeight w:val="956"/>
        </w:trPr>
        <w:tc>
          <w:tcPr>
            <w:tcW w:w="1843" w:type="dxa"/>
          </w:tcPr>
          <w:p w:rsidR="005B6D38" w:rsidRPr="00210A7B" w:rsidRDefault="005B6D38">
            <w:pPr>
              <w:jc w:val="center"/>
              <w:rPr>
                <w:b/>
              </w:rPr>
            </w:pPr>
          </w:p>
          <w:p w:rsidR="005B6D38" w:rsidRPr="00210A7B" w:rsidRDefault="005B6D38">
            <w:pPr>
              <w:jc w:val="center"/>
              <w:rPr>
                <w:b/>
              </w:rPr>
            </w:pPr>
            <w:r w:rsidRPr="00210A7B">
              <w:rPr>
                <w:b/>
              </w:rPr>
              <w:t>REMUNERAÇÃO</w:t>
            </w:r>
          </w:p>
        </w:tc>
        <w:tc>
          <w:tcPr>
            <w:tcW w:w="1559" w:type="dxa"/>
          </w:tcPr>
          <w:p w:rsidR="005B6D38" w:rsidRPr="00210A7B" w:rsidRDefault="005B6D38">
            <w:pPr>
              <w:jc w:val="center"/>
              <w:rPr>
                <w:b/>
              </w:rPr>
            </w:pPr>
          </w:p>
          <w:p w:rsidR="005B6D38" w:rsidRPr="00210A7B" w:rsidRDefault="005B6D38">
            <w:pPr>
              <w:jc w:val="center"/>
              <w:rPr>
                <w:b/>
              </w:rPr>
            </w:pPr>
            <w:r w:rsidRPr="00210A7B">
              <w:rPr>
                <w:b/>
              </w:rPr>
              <w:t>PASSAGENS (R$)</w:t>
            </w:r>
          </w:p>
        </w:tc>
        <w:tc>
          <w:tcPr>
            <w:tcW w:w="1560" w:type="dxa"/>
          </w:tcPr>
          <w:p w:rsidR="005B6D38" w:rsidRPr="00210A7B" w:rsidRDefault="005B6D38">
            <w:pPr>
              <w:jc w:val="center"/>
              <w:rPr>
                <w:b/>
              </w:rPr>
            </w:pPr>
          </w:p>
          <w:p w:rsidR="000C3DC5" w:rsidRPr="00210A7B" w:rsidRDefault="005B6D38" w:rsidP="000C3DC5">
            <w:pPr>
              <w:jc w:val="center"/>
              <w:rPr>
                <w:b/>
              </w:rPr>
            </w:pPr>
            <w:r w:rsidRPr="00210A7B">
              <w:rPr>
                <w:b/>
              </w:rPr>
              <w:t>DIÁRIAS</w:t>
            </w:r>
          </w:p>
          <w:p w:rsidR="005B6D38" w:rsidRPr="00210A7B" w:rsidRDefault="005B6D38" w:rsidP="000C3DC5">
            <w:pPr>
              <w:jc w:val="center"/>
              <w:rPr>
                <w:b/>
              </w:rPr>
            </w:pPr>
            <w:r w:rsidRPr="00210A7B">
              <w:rPr>
                <w:b/>
              </w:rPr>
              <w:t>(R$)</w:t>
            </w:r>
          </w:p>
        </w:tc>
        <w:tc>
          <w:tcPr>
            <w:tcW w:w="1559" w:type="dxa"/>
          </w:tcPr>
          <w:p w:rsidR="005B6D38" w:rsidRPr="00210A7B" w:rsidRDefault="005B6D38">
            <w:pPr>
              <w:jc w:val="center"/>
              <w:rPr>
                <w:b/>
              </w:rPr>
            </w:pPr>
          </w:p>
          <w:p w:rsidR="005B6D38" w:rsidRPr="00210A7B" w:rsidRDefault="005B6D38">
            <w:pPr>
              <w:jc w:val="center"/>
              <w:rPr>
                <w:b/>
              </w:rPr>
            </w:pPr>
            <w:r w:rsidRPr="00210A7B">
              <w:rPr>
                <w:b/>
              </w:rPr>
              <w:t>RESSARC.   TRANSPORTE</w:t>
            </w:r>
          </w:p>
        </w:tc>
        <w:tc>
          <w:tcPr>
            <w:tcW w:w="1559" w:type="dxa"/>
          </w:tcPr>
          <w:p w:rsidR="005B6D38" w:rsidRPr="00210A7B" w:rsidRDefault="005B6D38">
            <w:pPr>
              <w:jc w:val="center"/>
              <w:rPr>
                <w:b/>
              </w:rPr>
            </w:pPr>
          </w:p>
          <w:p w:rsidR="005B6D38" w:rsidRPr="00210A7B" w:rsidRDefault="005B6D38">
            <w:pPr>
              <w:jc w:val="center"/>
              <w:rPr>
                <w:b/>
              </w:rPr>
            </w:pPr>
            <w:r w:rsidRPr="00210A7B">
              <w:rPr>
                <w:b/>
              </w:rPr>
              <w:t>INDENIZ. TRANSPORTE</w:t>
            </w:r>
          </w:p>
        </w:tc>
        <w:tc>
          <w:tcPr>
            <w:tcW w:w="1276" w:type="dxa"/>
          </w:tcPr>
          <w:p w:rsidR="005B6D38" w:rsidRPr="00210A7B" w:rsidRDefault="005B6D38">
            <w:pPr>
              <w:jc w:val="center"/>
              <w:rPr>
                <w:b/>
              </w:rPr>
            </w:pPr>
          </w:p>
          <w:p w:rsidR="005B6D38" w:rsidRPr="00210A7B" w:rsidRDefault="005B6D38">
            <w:pPr>
              <w:jc w:val="center"/>
              <w:rPr>
                <w:b/>
              </w:rPr>
            </w:pPr>
            <w:r w:rsidRPr="00210A7B">
              <w:rPr>
                <w:b/>
              </w:rPr>
              <w:t>SUPR. FUNDOS</w:t>
            </w:r>
          </w:p>
        </w:tc>
        <w:tc>
          <w:tcPr>
            <w:tcW w:w="1417" w:type="dxa"/>
          </w:tcPr>
          <w:p w:rsidR="005B6D38" w:rsidRPr="00210A7B" w:rsidRDefault="005B6D38">
            <w:pPr>
              <w:jc w:val="center"/>
              <w:rPr>
                <w:b/>
              </w:rPr>
            </w:pPr>
          </w:p>
          <w:p w:rsidR="005B6D38" w:rsidRPr="00210A7B" w:rsidRDefault="005B6D38">
            <w:pPr>
              <w:jc w:val="center"/>
              <w:rPr>
                <w:b/>
              </w:rPr>
            </w:pPr>
            <w:r w:rsidRPr="00210A7B">
              <w:rPr>
                <w:b/>
              </w:rPr>
              <w:t>DESC. AUX. ALIMENT.</w:t>
            </w:r>
          </w:p>
        </w:tc>
        <w:tc>
          <w:tcPr>
            <w:tcW w:w="1276" w:type="dxa"/>
          </w:tcPr>
          <w:p w:rsidR="005B6D38" w:rsidRPr="00210A7B" w:rsidRDefault="005B6D38">
            <w:pPr>
              <w:jc w:val="center"/>
              <w:rPr>
                <w:b/>
              </w:rPr>
            </w:pPr>
          </w:p>
          <w:p w:rsidR="005B6D38" w:rsidRPr="00210A7B" w:rsidRDefault="005B6D38" w:rsidP="005016C3">
            <w:pPr>
              <w:spacing w:after="0"/>
              <w:jc w:val="center"/>
              <w:rPr>
                <w:b/>
              </w:rPr>
            </w:pPr>
            <w:r w:rsidRPr="00210A7B">
              <w:rPr>
                <w:b/>
              </w:rPr>
              <w:t>ADIC. EMB./ DESEMB.</w:t>
            </w:r>
          </w:p>
        </w:tc>
        <w:tc>
          <w:tcPr>
            <w:tcW w:w="1418" w:type="dxa"/>
          </w:tcPr>
          <w:p w:rsidR="005B6D38" w:rsidRPr="00210A7B" w:rsidRDefault="005B6D38">
            <w:pPr>
              <w:jc w:val="center"/>
              <w:rPr>
                <w:b/>
              </w:rPr>
            </w:pPr>
          </w:p>
          <w:p w:rsidR="005B6D38" w:rsidRPr="00210A7B" w:rsidRDefault="005B6D38">
            <w:pPr>
              <w:jc w:val="center"/>
              <w:rPr>
                <w:b/>
              </w:rPr>
            </w:pPr>
            <w:r w:rsidRPr="00210A7B">
              <w:rPr>
                <w:b/>
              </w:rPr>
              <w:t xml:space="preserve">OUTROS CUSTOS </w:t>
            </w:r>
          </w:p>
        </w:tc>
        <w:tc>
          <w:tcPr>
            <w:tcW w:w="1134" w:type="dxa"/>
          </w:tcPr>
          <w:p w:rsidR="005B6D38" w:rsidRPr="00210A7B" w:rsidRDefault="005B6D38">
            <w:pPr>
              <w:jc w:val="center"/>
              <w:rPr>
                <w:b/>
              </w:rPr>
            </w:pPr>
          </w:p>
          <w:p w:rsidR="005B6D38" w:rsidRPr="00210A7B" w:rsidRDefault="005B6D38">
            <w:pPr>
              <w:jc w:val="center"/>
              <w:rPr>
                <w:b/>
              </w:rPr>
            </w:pPr>
            <w:r w:rsidRPr="00210A7B">
              <w:rPr>
                <w:b/>
              </w:rPr>
              <w:t>CUSTO TOTAL</w:t>
            </w:r>
          </w:p>
        </w:tc>
      </w:tr>
      <w:tr w:rsidR="005B6D38" w:rsidRPr="00210A7B" w:rsidTr="004B2748">
        <w:tc>
          <w:tcPr>
            <w:tcW w:w="1843" w:type="dxa"/>
          </w:tcPr>
          <w:p w:rsidR="005B6D38" w:rsidRPr="00210A7B" w:rsidRDefault="005B6D38" w:rsidP="00DF4BE7">
            <w:pPr>
              <w:rPr>
                <w:b/>
                <w:u w:val="single"/>
              </w:rPr>
            </w:pPr>
          </w:p>
        </w:tc>
        <w:tc>
          <w:tcPr>
            <w:tcW w:w="1559" w:type="dxa"/>
          </w:tcPr>
          <w:p w:rsidR="005B6D38" w:rsidRPr="00210A7B" w:rsidRDefault="005B6D38" w:rsidP="00DF4BE7">
            <w:pPr>
              <w:rPr>
                <w:b/>
                <w:u w:val="single"/>
              </w:rPr>
            </w:pPr>
          </w:p>
        </w:tc>
        <w:tc>
          <w:tcPr>
            <w:tcW w:w="1560" w:type="dxa"/>
          </w:tcPr>
          <w:p w:rsidR="005B6D38" w:rsidRPr="00210A7B" w:rsidRDefault="005B6D38" w:rsidP="00DF4BE7">
            <w:pPr>
              <w:rPr>
                <w:b/>
                <w:u w:val="single"/>
              </w:rPr>
            </w:pPr>
          </w:p>
        </w:tc>
        <w:tc>
          <w:tcPr>
            <w:tcW w:w="1559" w:type="dxa"/>
          </w:tcPr>
          <w:p w:rsidR="005B6D38" w:rsidRPr="00210A7B" w:rsidRDefault="005B6D38" w:rsidP="00DF4BE7">
            <w:pPr>
              <w:rPr>
                <w:b/>
                <w:u w:val="single"/>
              </w:rPr>
            </w:pPr>
          </w:p>
        </w:tc>
        <w:tc>
          <w:tcPr>
            <w:tcW w:w="1559" w:type="dxa"/>
          </w:tcPr>
          <w:p w:rsidR="005B6D38" w:rsidRPr="00210A7B" w:rsidRDefault="005B6D38" w:rsidP="00DF4BE7">
            <w:pPr>
              <w:rPr>
                <w:b/>
                <w:u w:val="single"/>
              </w:rPr>
            </w:pPr>
          </w:p>
        </w:tc>
        <w:tc>
          <w:tcPr>
            <w:tcW w:w="1276" w:type="dxa"/>
          </w:tcPr>
          <w:p w:rsidR="005B6D38" w:rsidRPr="00210A7B" w:rsidRDefault="005B6D38" w:rsidP="00DF4BE7">
            <w:pPr>
              <w:rPr>
                <w:b/>
                <w:u w:val="single"/>
              </w:rPr>
            </w:pPr>
          </w:p>
        </w:tc>
        <w:tc>
          <w:tcPr>
            <w:tcW w:w="1417" w:type="dxa"/>
          </w:tcPr>
          <w:p w:rsidR="005B6D38" w:rsidRPr="00210A7B" w:rsidRDefault="005B6D38" w:rsidP="00DF4BE7">
            <w:pPr>
              <w:rPr>
                <w:b/>
                <w:u w:val="single"/>
              </w:rPr>
            </w:pPr>
          </w:p>
        </w:tc>
        <w:tc>
          <w:tcPr>
            <w:tcW w:w="1276" w:type="dxa"/>
          </w:tcPr>
          <w:p w:rsidR="005B6D38" w:rsidRPr="00210A7B" w:rsidRDefault="005B6D38" w:rsidP="00DF4BE7">
            <w:pPr>
              <w:rPr>
                <w:b/>
                <w:u w:val="single"/>
              </w:rPr>
            </w:pPr>
          </w:p>
        </w:tc>
        <w:tc>
          <w:tcPr>
            <w:tcW w:w="1418" w:type="dxa"/>
          </w:tcPr>
          <w:p w:rsidR="005B6D38" w:rsidRPr="00210A7B" w:rsidRDefault="005B6D38" w:rsidP="00DF4BE7">
            <w:pPr>
              <w:rPr>
                <w:b/>
                <w:u w:val="single"/>
              </w:rPr>
            </w:pPr>
          </w:p>
        </w:tc>
        <w:tc>
          <w:tcPr>
            <w:tcW w:w="1134" w:type="dxa"/>
          </w:tcPr>
          <w:p w:rsidR="005B6D38" w:rsidRPr="00210A7B" w:rsidRDefault="005B6D38" w:rsidP="00DF4BE7">
            <w:pPr>
              <w:rPr>
                <w:b/>
                <w:u w:val="single"/>
              </w:rPr>
            </w:pPr>
          </w:p>
        </w:tc>
      </w:tr>
      <w:tr w:rsidR="005B6D38" w:rsidRPr="00210A7B" w:rsidTr="004B2748">
        <w:tc>
          <w:tcPr>
            <w:tcW w:w="1843" w:type="dxa"/>
          </w:tcPr>
          <w:p w:rsidR="005B6D38" w:rsidRPr="00210A7B" w:rsidRDefault="005B6D38">
            <w:pPr>
              <w:rPr>
                <w:b/>
                <w:u w:val="single"/>
              </w:rPr>
            </w:pPr>
          </w:p>
        </w:tc>
        <w:tc>
          <w:tcPr>
            <w:tcW w:w="1559" w:type="dxa"/>
          </w:tcPr>
          <w:p w:rsidR="005B6D38" w:rsidRPr="00210A7B" w:rsidRDefault="005B6D38">
            <w:pPr>
              <w:rPr>
                <w:b/>
                <w:u w:val="single"/>
              </w:rPr>
            </w:pPr>
          </w:p>
        </w:tc>
        <w:tc>
          <w:tcPr>
            <w:tcW w:w="1560" w:type="dxa"/>
          </w:tcPr>
          <w:p w:rsidR="005B6D38" w:rsidRPr="00210A7B" w:rsidRDefault="005B6D38">
            <w:pPr>
              <w:rPr>
                <w:b/>
                <w:u w:val="single"/>
              </w:rPr>
            </w:pPr>
          </w:p>
        </w:tc>
        <w:tc>
          <w:tcPr>
            <w:tcW w:w="1559" w:type="dxa"/>
          </w:tcPr>
          <w:p w:rsidR="005B6D38" w:rsidRPr="00210A7B" w:rsidRDefault="005B6D38">
            <w:pPr>
              <w:rPr>
                <w:b/>
                <w:u w:val="single"/>
              </w:rPr>
            </w:pPr>
          </w:p>
        </w:tc>
        <w:tc>
          <w:tcPr>
            <w:tcW w:w="1559" w:type="dxa"/>
          </w:tcPr>
          <w:p w:rsidR="005B6D38" w:rsidRPr="00210A7B" w:rsidRDefault="005B6D38">
            <w:pPr>
              <w:rPr>
                <w:b/>
                <w:u w:val="single"/>
              </w:rPr>
            </w:pPr>
          </w:p>
        </w:tc>
        <w:tc>
          <w:tcPr>
            <w:tcW w:w="1276" w:type="dxa"/>
          </w:tcPr>
          <w:p w:rsidR="005B6D38" w:rsidRPr="00210A7B" w:rsidRDefault="005B6D38">
            <w:pPr>
              <w:rPr>
                <w:b/>
                <w:u w:val="single"/>
              </w:rPr>
            </w:pPr>
          </w:p>
        </w:tc>
        <w:tc>
          <w:tcPr>
            <w:tcW w:w="1417" w:type="dxa"/>
          </w:tcPr>
          <w:p w:rsidR="005B6D38" w:rsidRPr="00210A7B" w:rsidRDefault="005B6D38">
            <w:pPr>
              <w:rPr>
                <w:b/>
                <w:u w:val="single"/>
              </w:rPr>
            </w:pPr>
          </w:p>
        </w:tc>
        <w:tc>
          <w:tcPr>
            <w:tcW w:w="1276" w:type="dxa"/>
          </w:tcPr>
          <w:p w:rsidR="005B6D38" w:rsidRPr="00210A7B" w:rsidRDefault="005B6D38">
            <w:pPr>
              <w:rPr>
                <w:b/>
                <w:u w:val="single"/>
              </w:rPr>
            </w:pPr>
          </w:p>
        </w:tc>
        <w:tc>
          <w:tcPr>
            <w:tcW w:w="1418" w:type="dxa"/>
          </w:tcPr>
          <w:p w:rsidR="005B6D38" w:rsidRPr="00210A7B" w:rsidRDefault="005B6D38">
            <w:pPr>
              <w:rPr>
                <w:b/>
                <w:u w:val="single"/>
              </w:rPr>
            </w:pPr>
          </w:p>
        </w:tc>
        <w:tc>
          <w:tcPr>
            <w:tcW w:w="1134" w:type="dxa"/>
          </w:tcPr>
          <w:p w:rsidR="005B6D38" w:rsidRPr="00210A7B" w:rsidRDefault="005B6D38">
            <w:pPr>
              <w:rPr>
                <w:b/>
                <w:u w:val="single"/>
              </w:rPr>
            </w:pPr>
          </w:p>
        </w:tc>
      </w:tr>
    </w:tbl>
    <w:p w:rsidR="003D2BDB" w:rsidRPr="00210A7B" w:rsidRDefault="005B6D38" w:rsidP="005016C3">
      <w:pPr>
        <w:jc w:val="both"/>
      </w:pPr>
      <w:r w:rsidRPr="00210A7B">
        <w:rPr>
          <w:b/>
        </w:rPr>
        <w:t>Equipe de Auditoria:</w:t>
      </w:r>
      <w:r w:rsidRPr="00210A7B">
        <w:rPr>
          <w:b/>
        </w:rPr>
        <w:tab/>
      </w:r>
      <w:r w:rsidRPr="00210A7B">
        <w:rPr>
          <w:b/>
        </w:rPr>
        <w:tab/>
      </w:r>
      <w:r w:rsidRPr="00210A7B">
        <w:rPr>
          <w:b/>
        </w:rPr>
        <w:tab/>
      </w:r>
      <w:r w:rsidRPr="00210A7B">
        <w:rPr>
          <w:b/>
        </w:rPr>
        <w:tab/>
      </w:r>
      <w:r w:rsidRPr="00210A7B">
        <w:rPr>
          <w:b/>
        </w:rPr>
        <w:tab/>
      </w:r>
      <w:r w:rsidRPr="00210A7B">
        <w:rPr>
          <w:b/>
        </w:rPr>
        <w:tab/>
        <w:t>Supervisor:</w:t>
      </w:r>
    </w:p>
    <w:sectPr w:rsidR="003D2BDB" w:rsidRPr="00210A7B" w:rsidSect="008A2DA2">
      <w:headerReference w:type="default" r:id="rId8"/>
      <w:footerReference w:type="default" r:id="rId9"/>
      <w:pgSz w:w="16840" w:h="11907" w:orient="landscape" w:code="9"/>
      <w:pgMar w:top="1871" w:right="851" w:bottom="765" w:left="1418" w:header="851" w:footer="65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B9" w:rsidRDefault="00AA20B9">
      <w:r>
        <w:separator/>
      </w:r>
    </w:p>
  </w:endnote>
  <w:endnote w:type="continuationSeparator" w:id="0">
    <w:p w:rsidR="00AA20B9" w:rsidRDefault="00AA2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9" w:rsidRPr="008A2DA2" w:rsidRDefault="003D6314" w:rsidP="008A2DA2">
    <w:pPr>
      <w:pStyle w:val="Rodap"/>
      <w:tabs>
        <w:tab w:val="clear" w:pos="4419"/>
        <w:tab w:val="clear" w:pos="8838"/>
        <w:tab w:val="right" w:pos="14570"/>
      </w:tabs>
      <w:rPr>
        <w:sz w:val="12"/>
      </w:rPr>
    </w:pPr>
    <w:r>
      <w:rPr>
        <w:noProof/>
        <w:sz w:val="12"/>
      </w:rPr>
      <w:pict>
        <v:line id="LinhaRodape" o:spid="_x0000_s2051" style="position:absolute;z-index:251659264;mso-wrap-distance-top:.5pt;mso-wrap-distance-bottom:.5pt;mso-position-horizontal-relative:margin" from="0,-3.95pt" to="728.5pt,-3.95pt">
          <w10:wrap anchorx="margin"/>
        </v:line>
      </w:pict>
    </w:r>
    <w:r>
      <w:rPr>
        <w:sz w:val="12"/>
      </w:rPr>
      <w:fldChar w:fldCharType="begin"/>
    </w:r>
    <w:r w:rsidR="00AA20B9">
      <w:rPr>
        <w:sz w:val="12"/>
      </w:rPr>
      <w:instrText xml:space="preserve"> PAGE  \* MERGEFORMAT </w:instrText>
    </w:r>
    <w:r>
      <w:rPr>
        <w:sz w:val="12"/>
      </w:rPr>
      <w:fldChar w:fldCharType="separate"/>
    </w:r>
    <w:r w:rsidR="00491E03">
      <w:rPr>
        <w:noProof/>
        <w:sz w:val="12"/>
      </w:rPr>
      <w:t>14</w:t>
    </w:r>
    <w:r>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B9" w:rsidRDefault="00AA20B9">
      <w:r>
        <w:separator/>
      </w:r>
    </w:p>
  </w:footnote>
  <w:footnote w:type="continuationSeparator" w:id="0">
    <w:p w:rsidR="00AA20B9" w:rsidRDefault="00AA2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9" w:rsidRPr="008A2DA2" w:rsidRDefault="003D6314" w:rsidP="008A2DA2">
    <w:pPr>
      <w:pStyle w:val="Cabealho"/>
    </w:pPr>
    <w:r>
      <w:rPr>
        <w:noProof/>
      </w:rPr>
      <w:pict>
        <v:shapetype id="_x0000_t202" coordsize="21600,21600" o:spt="202" path="m,l,21600r21600,l21600,xe">
          <v:stroke joinstyle="miter"/>
          <v:path gradientshapeok="t" o:connecttype="rect"/>
        </v:shapetype>
        <v:shape id="_x0000_s2050" type="#_x0000_t202" style="position:absolute;margin-left:43.1pt;margin-top:44.5pt;width:728.5pt;height:41.1pt;z-index:251658240;mso-position-horizontal-relative:margin;mso-position-vertical-relative:page" stroked="f">
          <v:textbox inset=",2.83pt">
            <w:txbxContent>
              <w:p w:rsidR="00AA20B9" w:rsidRDefault="00AA20B9" w:rsidP="005D69E3">
                <w:pPr>
                  <w:spacing w:after="0"/>
                  <w:rPr>
                    <w:rFonts w:ascii="Arial" w:hAnsi="Arial" w:cs="Arial"/>
                    <w:b/>
                  </w:rPr>
                </w:pPr>
                <w:r>
                  <w:rPr>
                    <w:rFonts w:ascii="Arial" w:hAnsi="Arial" w:cs="Arial"/>
                    <w:b/>
                  </w:rPr>
                  <w:t>TRIBUNAL DE CONTAS DA UNIÃO</w:t>
                </w:r>
              </w:p>
              <w:p w:rsidR="00AA20B9" w:rsidRDefault="00AA20B9" w:rsidP="005D69E3">
                <w:pPr>
                  <w:spacing w:after="0"/>
                  <w:rPr>
                    <w:rFonts w:ascii="Arial" w:hAnsi="Arial" w:cs="Arial"/>
                    <w:b/>
                  </w:rPr>
                </w:pPr>
                <w:r>
                  <w:rPr>
                    <w:rFonts w:ascii="Arial" w:hAnsi="Arial" w:cs="Arial"/>
                    <w:b/>
                  </w:rPr>
                  <w:t>Secretaria de Métodos Aplicados e Suporte à Auditoria - SEAUD</w:t>
                </w:r>
              </w:p>
              <w:p w:rsidR="00AA20B9" w:rsidRPr="008A2DA2" w:rsidRDefault="00AA20B9" w:rsidP="008A2DA2">
                <w:pPr>
                  <w:rPr>
                    <w:rFonts w:ascii="Arial" w:hAnsi="Arial" w:cs="Arial"/>
                    <w:b/>
                  </w:rPr>
                </w:pPr>
                <w:r>
                  <w:rPr>
                    <w:rFonts w:ascii="Arial" w:hAnsi="Arial" w:cs="Arial"/>
                    <w:b/>
                  </w:rPr>
                  <w:t>Serviços de Normas de Auditoria - SENOR</w:t>
                </w:r>
              </w:p>
            </w:txbxContent>
          </v:textbox>
          <w10:wrap anchorx="margin" anchory="page"/>
        </v:shape>
      </w:pict>
    </w:r>
    <w:r>
      <w:rPr>
        <w:noProof/>
      </w:rPr>
      <w:pict>
        <v:line id="_x0000_s2049" style="position:absolute;z-index:251657216;mso-position-horizontal-relative:margin" from="0,45.35pt" to="728.5pt,45.35pt">
          <w10:wrap anchorx="margin"/>
        </v:line>
      </w:pict>
    </w:r>
    <w:r w:rsidR="00AA20B9">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2925" cy="434340"/>
          <wp:effectExtent l="19050" t="0" r="9525" b="0"/>
          <wp:wrapNone/>
          <wp:docPr id="6" name="Imagem 8"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278"/>
    <w:multiLevelType w:val="singleLevel"/>
    <w:tmpl w:val="8E362FC6"/>
    <w:lvl w:ilvl="0">
      <w:start w:val="1"/>
      <w:numFmt w:val="lowerLetter"/>
      <w:lvlText w:val="%1)"/>
      <w:lvlJc w:val="left"/>
      <w:pPr>
        <w:tabs>
          <w:tab w:val="num" w:pos="360"/>
        </w:tabs>
        <w:ind w:left="360" w:hanging="360"/>
      </w:pPr>
    </w:lvl>
  </w:abstractNum>
  <w:abstractNum w:abstractNumId="1">
    <w:nsid w:val="050E269B"/>
    <w:multiLevelType w:val="singleLevel"/>
    <w:tmpl w:val="AA0E7E88"/>
    <w:lvl w:ilvl="0">
      <w:start w:val="1"/>
      <w:numFmt w:val="lowerLetter"/>
      <w:lvlText w:val="%1)"/>
      <w:lvlJc w:val="left"/>
      <w:pPr>
        <w:tabs>
          <w:tab w:val="num" w:pos="360"/>
        </w:tabs>
        <w:ind w:left="360" w:hanging="360"/>
      </w:pPr>
      <w:rPr>
        <w:rFonts w:hint="default"/>
      </w:rPr>
    </w:lvl>
  </w:abstractNum>
  <w:abstractNum w:abstractNumId="2">
    <w:nsid w:val="13794319"/>
    <w:multiLevelType w:val="singleLevel"/>
    <w:tmpl w:val="69545090"/>
    <w:lvl w:ilvl="0">
      <w:start w:val="1"/>
      <w:numFmt w:val="lowerLetter"/>
      <w:lvlText w:val="%1)"/>
      <w:lvlJc w:val="left"/>
      <w:pPr>
        <w:tabs>
          <w:tab w:val="num" w:pos="360"/>
        </w:tabs>
        <w:ind w:left="360" w:hanging="360"/>
      </w:pPr>
    </w:lvl>
  </w:abstractNum>
  <w:abstractNum w:abstractNumId="3">
    <w:nsid w:val="14A36F60"/>
    <w:multiLevelType w:val="multilevel"/>
    <w:tmpl w:val="9EB0513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79C6B9A"/>
    <w:multiLevelType w:val="hybridMultilevel"/>
    <w:tmpl w:val="A40CE542"/>
    <w:lvl w:ilvl="0" w:tplc="FFFFFFFF">
      <w:start w:val="1"/>
      <w:numFmt w:val="decimal"/>
      <w:lvlText w:val="%1."/>
      <w:lvlJc w:val="left"/>
      <w:pPr>
        <w:tabs>
          <w:tab w:val="num" w:pos="1588"/>
        </w:tabs>
        <w:ind w:left="1588"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EF5B01"/>
    <w:multiLevelType w:val="singleLevel"/>
    <w:tmpl w:val="18585D50"/>
    <w:lvl w:ilvl="0">
      <w:start w:val="5"/>
      <w:numFmt w:val="decimal"/>
      <w:lvlText w:val="%1."/>
      <w:lvlJc w:val="left"/>
      <w:pPr>
        <w:tabs>
          <w:tab w:val="num" w:pos="360"/>
        </w:tabs>
        <w:ind w:left="360" w:hanging="360"/>
      </w:pPr>
    </w:lvl>
  </w:abstractNum>
  <w:abstractNum w:abstractNumId="6">
    <w:nsid w:val="23A245CE"/>
    <w:multiLevelType w:val="singleLevel"/>
    <w:tmpl w:val="845C4210"/>
    <w:lvl w:ilvl="0">
      <w:numFmt w:val="bullet"/>
      <w:lvlText w:val="-"/>
      <w:lvlJc w:val="left"/>
      <w:pPr>
        <w:tabs>
          <w:tab w:val="num" w:pos="360"/>
        </w:tabs>
        <w:ind w:left="360" w:hanging="360"/>
      </w:pPr>
      <w:rPr>
        <w:rFonts w:hint="default"/>
      </w:rPr>
    </w:lvl>
  </w:abstractNum>
  <w:abstractNum w:abstractNumId="7">
    <w:nsid w:val="23B04943"/>
    <w:multiLevelType w:val="singleLevel"/>
    <w:tmpl w:val="25CEBF8A"/>
    <w:lvl w:ilvl="0">
      <w:start w:val="1"/>
      <w:numFmt w:val="decimal"/>
      <w:lvlText w:val="%1."/>
      <w:lvlJc w:val="left"/>
      <w:pPr>
        <w:tabs>
          <w:tab w:val="num" w:pos="360"/>
        </w:tabs>
        <w:ind w:left="360" w:hanging="360"/>
      </w:pPr>
    </w:lvl>
  </w:abstractNum>
  <w:abstractNum w:abstractNumId="8">
    <w:nsid w:val="2A10601C"/>
    <w:multiLevelType w:val="multilevel"/>
    <w:tmpl w:val="A8C4D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376249"/>
    <w:multiLevelType w:val="hybridMultilevel"/>
    <w:tmpl w:val="F0D4A04C"/>
    <w:lvl w:ilvl="0" w:tplc="2CEA5B7E">
      <w:start w:val="1"/>
      <w:numFmt w:val="lowerLetter"/>
      <w:lvlText w:val="%1)"/>
      <w:lvlJc w:val="left"/>
      <w:pPr>
        <w:tabs>
          <w:tab w:val="num" w:pos="360"/>
        </w:tabs>
        <w:ind w:left="65" w:hanging="65"/>
      </w:pPr>
      <w:rPr>
        <w:rFonts w:ascii="Times New Roman" w:eastAsia="Times New Roman" w:hAnsi="Times New Roman" w:cs="Times New Roman"/>
      </w:rPr>
    </w:lvl>
    <w:lvl w:ilvl="1" w:tplc="FFFFFFFF">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10">
    <w:nsid w:val="3041738C"/>
    <w:multiLevelType w:val="hybridMultilevel"/>
    <w:tmpl w:val="03F2D1BE"/>
    <w:lvl w:ilvl="0" w:tplc="0416000F">
      <w:start w:val="1"/>
      <w:numFmt w:val="decimal"/>
      <w:lvlText w:val="%1."/>
      <w:lvlJc w:val="left"/>
      <w:pPr>
        <w:tabs>
          <w:tab w:val="num" w:pos="480"/>
        </w:tabs>
        <w:ind w:left="185" w:hanging="65"/>
      </w:pPr>
      <w:rPr>
        <w:rFonts w:hint="default"/>
      </w:rPr>
    </w:lvl>
    <w:lvl w:ilvl="1" w:tplc="FFFFFFFF">
      <w:start w:val="1"/>
      <w:numFmt w:val="bullet"/>
      <w:lvlText w:val="o"/>
      <w:lvlJc w:val="left"/>
      <w:pPr>
        <w:tabs>
          <w:tab w:val="num" w:pos="491"/>
        </w:tabs>
        <w:ind w:left="491" w:hanging="360"/>
      </w:pPr>
      <w:rPr>
        <w:rFonts w:ascii="Courier New" w:hAnsi="Courier New" w:hint="default"/>
      </w:rPr>
    </w:lvl>
    <w:lvl w:ilvl="2" w:tplc="FFFFFFFF" w:tentative="1">
      <w:start w:val="1"/>
      <w:numFmt w:val="bullet"/>
      <w:lvlText w:val=""/>
      <w:lvlJc w:val="left"/>
      <w:pPr>
        <w:tabs>
          <w:tab w:val="num" w:pos="1211"/>
        </w:tabs>
        <w:ind w:left="1211" w:hanging="360"/>
      </w:pPr>
      <w:rPr>
        <w:rFonts w:ascii="Wingdings" w:hAnsi="Wingdings" w:hint="default"/>
      </w:rPr>
    </w:lvl>
    <w:lvl w:ilvl="3" w:tplc="FFFFFFFF" w:tentative="1">
      <w:start w:val="1"/>
      <w:numFmt w:val="bullet"/>
      <w:lvlText w:val=""/>
      <w:lvlJc w:val="left"/>
      <w:pPr>
        <w:tabs>
          <w:tab w:val="num" w:pos="1931"/>
        </w:tabs>
        <w:ind w:left="1931" w:hanging="360"/>
      </w:pPr>
      <w:rPr>
        <w:rFonts w:ascii="Symbol" w:hAnsi="Symbol" w:hint="default"/>
      </w:rPr>
    </w:lvl>
    <w:lvl w:ilvl="4" w:tplc="FFFFFFFF" w:tentative="1">
      <w:start w:val="1"/>
      <w:numFmt w:val="bullet"/>
      <w:lvlText w:val="o"/>
      <w:lvlJc w:val="left"/>
      <w:pPr>
        <w:tabs>
          <w:tab w:val="num" w:pos="2651"/>
        </w:tabs>
        <w:ind w:left="2651" w:hanging="360"/>
      </w:pPr>
      <w:rPr>
        <w:rFonts w:ascii="Courier New" w:hAnsi="Courier New" w:hint="default"/>
      </w:rPr>
    </w:lvl>
    <w:lvl w:ilvl="5" w:tplc="FFFFFFFF" w:tentative="1">
      <w:start w:val="1"/>
      <w:numFmt w:val="bullet"/>
      <w:lvlText w:val=""/>
      <w:lvlJc w:val="left"/>
      <w:pPr>
        <w:tabs>
          <w:tab w:val="num" w:pos="3371"/>
        </w:tabs>
        <w:ind w:left="3371" w:hanging="360"/>
      </w:pPr>
      <w:rPr>
        <w:rFonts w:ascii="Wingdings" w:hAnsi="Wingdings" w:hint="default"/>
      </w:rPr>
    </w:lvl>
    <w:lvl w:ilvl="6" w:tplc="FFFFFFFF" w:tentative="1">
      <w:start w:val="1"/>
      <w:numFmt w:val="bullet"/>
      <w:lvlText w:val=""/>
      <w:lvlJc w:val="left"/>
      <w:pPr>
        <w:tabs>
          <w:tab w:val="num" w:pos="4091"/>
        </w:tabs>
        <w:ind w:left="4091" w:hanging="360"/>
      </w:pPr>
      <w:rPr>
        <w:rFonts w:ascii="Symbol" w:hAnsi="Symbol" w:hint="default"/>
      </w:rPr>
    </w:lvl>
    <w:lvl w:ilvl="7" w:tplc="FFFFFFFF" w:tentative="1">
      <w:start w:val="1"/>
      <w:numFmt w:val="bullet"/>
      <w:lvlText w:val="o"/>
      <w:lvlJc w:val="left"/>
      <w:pPr>
        <w:tabs>
          <w:tab w:val="num" w:pos="4811"/>
        </w:tabs>
        <w:ind w:left="4811" w:hanging="360"/>
      </w:pPr>
      <w:rPr>
        <w:rFonts w:ascii="Courier New" w:hAnsi="Courier New" w:hint="default"/>
      </w:rPr>
    </w:lvl>
    <w:lvl w:ilvl="8" w:tplc="FFFFFFFF" w:tentative="1">
      <w:start w:val="1"/>
      <w:numFmt w:val="bullet"/>
      <w:lvlText w:val=""/>
      <w:lvlJc w:val="left"/>
      <w:pPr>
        <w:tabs>
          <w:tab w:val="num" w:pos="5531"/>
        </w:tabs>
        <w:ind w:left="5531" w:hanging="360"/>
      </w:pPr>
      <w:rPr>
        <w:rFonts w:ascii="Wingdings" w:hAnsi="Wingdings" w:hint="default"/>
      </w:rPr>
    </w:lvl>
  </w:abstractNum>
  <w:abstractNum w:abstractNumId="11">
    <w:nsid w:val="38AF3E7A"/>
    <w:multiLevelType w:val="hybridMultilevel"/>
    <w:tmpl w:val="5DA88FFA"/>
    <w:lvl w:ilvl="0" w:tplc="E6947160">
      <w:start w:val="1"/>
      <w:numFmt w:val="decimal"/>
      <w:lvlText w:val="%1)"/>
      <w:lvlJc w:val="left"/>
      <w:pPr>
        <w:ind w:left="720" w:hanging="360"/>
      </w:pPr>
      <w:rPr>
        <w:rFonts w:hint="default"/>
      </w:rPr>
    </w:lvl>
    <w:lvl w:ilvl="1" w:tplc="DAE2B5B2" w:tentative="1">
      <w:start w:val="1"/>
      <w:numFmt w:val="lowerLetter"/>
      <w:lvlText w:val="%2."/>
      <w:lvlJc w:val="left"/>
      <w:pPr>
        <w:ind w:left="1440" w:hanging="360"/>
      </w:pPr>
    </w:lvl>
    <w:lvl w:ilvl="2" w:tplc="FD18085A" w:tentative="1">
      <w:start w:val="1"/>
      <w:numFmt w:val="lowerRoman"/>
      <w:lvlText w:val="%3."/>
      <w:lvlJc w:val="right"/>
      <w:pPr>
        <w:ind w:left="2160" w:hanging="180"/>
      </w:pPr>
    </w:lvl>
    <w:lvl w:ilvl="3" w:tplc="D5EC5C4C" w:tentative="1">
      <w:start w:val="1"/>
      <w:numFmt w:val="decimal"/>
      <w:lvlText w:val="%4."/>
      <w:lvlJc w:val="left"/>
      <w:pPr>
        <w:ind w:left="2880" w:hanging="360"/>
      </w:pPr>
    </w:lvl>
    <w:lvl w:ilvl="4" w:tplc="28744E56" w:tentative="1">
      <w:start w:val="1"/>
      <w:numFmt w:val="lowerLetter"/>
      <w:lvlText w:val="%5."/>
      <w:lvlJc w:val="left"/>
      <w:pPr>
        <w:ind w:left="3600" w:hanging="360"/>
      </w:pPr>
    </w:lvl>
    <w:lvl w:ilvl="5" w:tplc="C1CAE606" w:tentative="1">
      <w:start w:val="1"/>
      <w:numFmt w:val="lowerRoman"/>
      <w:lvlText w:val="%6."/>
      <w:lvlJc w:val="right"/>
      <w:pPr>
        <w:ind w:left="4320" w:hanging="180"/>
      </w:pPr>
    </w:lvl>
    <w:lvl w:ilvl="6" w:tplc="05920930" w:tentative="1">
      <w:start w:val="1"/>
      <w:numFmt w:val="decimal"/>
      <w:lvlText w:val="%7."/>
      <w:lvlJc w:val="left"/>
      <w:pPr>
        <w:ind w:left="5040" w:hanging="360"/>
      </w:pPr>
    </w:lvl>
    <w:lvl w:ilvl="7" w:tplc="B55063CE" w:tentative="1">
      <w:start w:val="1"/>
      <w:numFmt w:val="lowerLetter"/>
      <w:lvlText w:val="%8."/>
      <w:lvlJc w:val="left"/>
      <w:pPr>
        <w:ind w:left="5760" w:hanging="360"/>
      </w:pPr>
    </w:lvl>
    <w:lvl w:ilvl="8" w:tplc="341A12DC" w:tentative="1">
      <w:start w:val="1"/>
      <w:numFmt w:val="lowerRoman"/>
      <w:lvlText w:val="%9."/>
      <w:lvlJc w:val="right"/>
      <w:pPr>
        <w:ind w:left="6480" w:hanging="180"/>
      </w:pPr>
    </w:lvl>
  </w:abstractNum>
  <w:abstractNum w:abstractNumId="12">
    <w:nsid w:val="3DD732B3"/>
    <w:multiLevelType w:val="hybridMultilevel"/>
    <w:tmpl w:val="C6F0765E"/>
    <w:lvl w:ilvl="0" w:tplc="FFFFFFFF">
      <w:start w:val="1"/>
      <w:numFmt w:val="bullet"/>
      <w:lvlText w:val=""/>
      <w:lvlJc w:val="left"/>
      <w:pPr>
        <w:tabs>
          <w:tab w:val="num" w:pos="480"/>
        </w:tabs>
        <w:ind w:left="185" w:hanging="65"/>
      </w:pPr>
      <w:rPr>
        <w:rFonts w:ascii="Wingdings" w:hAnsi="Wingdings" w:hint="default"/>
      </w:rPr>
    </w:lvl>
    <w:lvl w:ilvl="1" w:tplc="FFFFFFFF">
      <w:start w:val="1"/>
      <w:numFmt w:val="bullet"/>
      <w:lvlText w:val="o"/>
      <w:lvlJc w:val="left"/>
      <w:pPr>
        <w:tabs>
          <w:tab w:val="num" w:pos="491"/>
        </w:tabs>
        <w:ind w:left="491" w:hanging="360"/>
      </w:pPr>
      <w:rPr>
        <w:rFonts w:ascii="Courier New" w:hAnsi="Courier New" w:hint="default"/>
      </w:rPr>
    </w:lvl>
    <w:lvl w:ilvl="2" w:tplc="FFFFFFFF" w:tentative="1">
      <w:start w:val="1"/>
      <w:numFmt w:val="bullet"/>
      <w:lvlText w:val=""/>
      <w:lvlJc w:val="left"/>
      <w:pPr>
        <w:tabs>
          <w:tab w:val="num" w:pos="1211"/>
        </w:tabs>
        <w:ind w:left="1211" w:hanging="360"/>
      </w:pPr>
      <w:rPr>
        <w:rFonts w:ascii="Wingdings" w:hAnsi="Wingdings" w:hint="default"/>
      </w:rPr>
    </w:lvl>
    <w:lvl w:ilvl="3" w:tplc="FFFFFFFF" w:tentative="1">
      <w:start w:val="1"/>
      <w:numFmt w:val="bullet"/>
      <w:lvlText w:val=""/>
      <w:lvlJc w:val="left"/>
      <w:pPr>
        <w:tabs>
          <w:tab w:val="num" w:pos="1931"/>
        </w:tabs>
        <w:ind w:left="1931" w:hanging="360"/>
      </w:pPr>
      <w:rPr>
        <w:rFonts w:ascii="Symbol" w:hAnsi="Symbol" w:hint="default"/>
      </w:rPr>
    </w:lvl>
    <w:lvl w:ilvl="4" w:tplc="FFFFFFFF" w:tentative="1">
      <w:start w:val="1"/>
      <w:numFmt w:val="bullet"/>
      <w:lvlText w:val="o"/>
      <w:lvlJc w:val="left"/>
      <w:pPr>
        <w:tabs>
          <w:tab w:val="num" w:pos="2651"/>
        </w:tabs>
        <w:ind w:left="2651" w:hanging="360"/>
      </w:pPr>
      <w:rPr>
        <w:rFonts w:ascii="Courier New" w:hAnsi="Courier New" w:hint="default"/>
      </w:rPr>
    </w:lvl>
    <w:lvl w:ilvl="5" w:tplc="FFFFFFFF" w:tentative="1">
      <w:start w:val="1"/>
      <w:numFmt w:val="bullet"/>
      <w:lvlText w:val=""/>
      <w:lvlJc w:val="left"/>
      <w:pPr>
        <w:tabs>
          <w:tab w:val="num" w:pos="3371"/>
        </w:tabs>
        <w:ind w:left="3371" w:hanging="360"/>
      </w:pPr>
      <w:rPr>
        <w:rFonts w:ascii="Wingdings" w:hAnsi="Wingdings" w:hint="default"/>
      </w:rPr>
    </w:lvl>
    <w:lvl w:ilvl="6" w:tplc="FFFFFFFF" w:tentative="1">
      <w:start w:val="1"/>
      <w:numFmt w:val="bullet"/>
      <w:lvlText w:val=""/>
      <w:lvlJc w:val="left"/>
      <w:pPr>
        <w:tabs>
          <w:tab w:val="num" w:pos="4091"/>
        </w:tabs>
        <w:ind w:left="4091" w:hanging="360"/>
      </w:pPr>
      <w:rPr>
        <w:rFonts w:ascii="Symbol" w:hAnsi="Symbol" w:hint="default"/>
      </w:rPr>
    </w:lvl>
    <w:lvl w:ilvl="7" w:tplc="FFFFFFFF" w:tentative="1">
      <w:start w:val="1"/>
      <w:numFmt w:val="bullet"/>
      <w:lvlText w:val="o"/>
      <w:lvlJc w:val="left"/>
      <w:pPr>
        <w:tabs>
          <w:tab w:val="num" w:pos="4811"/>
        </w:tabs>
        <w:ind w:left="4811" w:hanging="360"/>
      </w:pPr>
      <w:rPr>
        <w:rFonts w:ascii="Courier New" w:hAnsi="Courier New" w:hint="default"/>
      </w:rPr>
    </w:lvl>
    <w:lvl w:ilvl="8" w:tplc="FFFFFFFF" w:tentative="1">
      <w:start w:val="1"/>
      <w:numFmt w:val="bullet"/>
      <w:lvlText w:val=""/>
      <w:lvlJc w:val="left"/>
      <w:pPr>
        <w:tabs>
          <w:tab w:val="num" w:pos="5531"/>
        </w:tabs>
        <w:ind w:left="5531" w:hanging="360"/>
      </w:pPr>
      <w:rPr>
        <w:rFonts w:ascii="Wingdings" w:hAnsi="Wingdings" w:hint="default"/>
      </w:rPr>
    </w:lvl>
  </w:abstractNum>
  <w:abstractNum w:abstractNumId="13">
    <w:nsid w:val="5E105D1D"/>
    <w:multiLevelType w:val="singleLevel"/>
    <w:tmpl w:val="25CEBF8A"/>
    <w:lvl w:ilvl="0">
      <w:start w:val="1"/>
      <w:numFmt w:val="decimal"/>
      <w:lvlText w:val="%1."/>
      <w:lvlJc w:val="left"/>
      <w:pPr>
        <w:tabs>
          <w:tab w:val="num" w:pos="360"/>
        </w:tabs>
        <w:ind w:left="360" w:hanging="360"/>
      </w:pPr>
    </w:lvl>
  </w:abstractNum>
  <w:abstractNum w:abstractNumId="14">
    <w:nsid w:val="60A5652D"/>
    <w:multiLevelType w:val="hybridMultilevel"/>
    <w:tmpl w:val="567C24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B5111F"/>
    <w:multiLevelType w:val="hybridMultilevel"/>
    <w:tmpl w:val="53844D0E"/>
    <w:lvl w:ilvl="0" w:tplc="E7B23512">
      <w:start w:val="1"/>
      <w:numFmt w:val="decimal"/>
      <w:lvlText w:val="%1)"/>
      <w:lvlJc w:val="left"/>
      <w:pPr>
        <w:ind w:left="720" w:hanging="360"/>
      </w:pPr>
      <w:rPr>
        <w:rFonts w:hint="default"/>
      </w:rPr>
    </w:lvl>
    <w:lvl w:ilvl="1" w:tplc="4D7CE842" w:tentative="1">
      <w:start w:val="1"/>
      <w:numFmt w:val="lowerLetter"/>
      <w:lvlText w:val="%2."/>
      <w:lvlJc w:val="left"/>
      <w:pPr>
        <w:ind w:left="1440" w:hanging="360"/>
      </w:pPr>
    </w:lvl>
    <w:lvl w:ilvl="2" w:tplc="A9BACD30" w:tentative="1">
      <w:start w:val="1"/>
      <w:numFmt w:val="lowerRoman"/>
      <w:lvlText w:val="%3."/>
      <w:lvlJc w:val="right"/>
      <w:pPr>
        <w:ind w:left="2160" w:hanging="180"/>
      </w:pPr>
    </w:lvl>
    <w:lvl w:ilvl="3" w:tplc="4C3CF488" w:tentative="1">
      <w:start w:val="1"/>
      <w:numFmt w:val="decimal"/>
      <w:lvlText w:val="%4."/>
      <w:lvlJc w:val="left"/>
      <w:pPr>
        <w:ind w:left="2880" w:hanging="360"/>
      </w:pPr>
    </w:lvl>
    <w:lvl w:ilvl="4" w:tplc="C6FE96CC" w:tentative="1">
      <w:start w:val="1"/>
      <w:numFmt w:val="lowerLetter"/>
      <w:lvlText w:val="%5."/>
      <w:lvlJc w:val="left"/>
      <w:pPr>
        <w:ind w:left="3600" w:hanging="360"/>
      </w:pPr>
    </w:lvl>
    <w:lvl w:ilvl="5" w:tplc="9AE6F57A" w:tentative="1">
      <w:start w:val="1"/>
      <w:numFmt w:val="lowerRoman"/>
      <w:lvlText w:val="%6."/>
      <w:lvlJc w:val="right"/>
      <w:pPr>
        <w:ind w:left="4320" w:hanging="180"/>
      </w:pPr>
    </w:lvl>
    <w:lvl w:ilvl="6" w:tplc="CD84C768" w:tentative="1">
      <w:start w:val="1"/>
      <w:numFmt w:val="decimal"/>
      <w:lvlText w:val="%7."/>
      <w:lvlJc w:val="left"/>
      <w:pPr>
        <w:ind w:left="5040" w:hanging="360"/>
      </w:pPr>
    </w:lvl>
    <w:lvl w:ilvl="7" w:tplc="94028EA6" w:tentative="1">
      <w:start w:val="1"/>
      <w:numFmt w:val="lowerLetter"/>
      <w:lvlText w:val="%8."/>
      <w:lvlJc w:val="left"/>
      <w:pPr>
        <w:ind w:left="5760" w:hanging="360"/>
      </w:pPr>
    </w:lvl>
    <w:lvl w:ilvl="8" w:tplc="FF58762A" w:tentative="1">
      <w:start w:val="1"/>
      <w:numFmt w:val="lowerRoman"/>
      <w:lvlText w:val="%9."/>
      <w:lvlJc w:val="right"/>
      <w:pPr>
        <w:ind w:left="6480" w:hanging="180"/>
      </w:pPr>
    </w:lvl>
  </w:abstractNum>
  <w:abstractNum w:abstractNumId="16">
    <w:nsid w:val="63866ADE"/>
    <w:multiLevelType w:val="hybridMultilevel"/>
    <w:tmpl w:val="21C04BA0"/>
    <w:lvl w:ilvl="0" w:tplc="04160011">
      <w:start w:val="1"/>
      <w:numFmt w:val="bullet"/>
      <w:lvlText w:val=""/>
      <w:lvlJc w:val="left"/>
      <w:pPr>
        <w:ind w:left="774" w:hanging="360"/>
      </w:pPr>
      <w:rPr>
        <w:rFonts w:ascii="Symbol" w:hAnsi="Symbol" w:hint="default"/>
      </w:rPr>
    </w:lvl>
    <w:lvl w:ilvl="1" w:tplc="04160019" w:tentative="1">
      <w:start w:val="1"/>
      <w:numFmt w:val="bullet"/>
      <w:lvlText w:val="o"/>
      <w:lvlJc w:val="left"/>
      <w:pPr>
        <w:ind w:left="1494" w:hanging="360"/>
      </w:pPr>
      <w:rPr>
        <w:rFonts w:ascii="Courier New" w:hAnsi="Courier New" w:cs="Courier New" w:hint="default"/>
      </w:rPr>
    </w:lvl>
    <w:lvl w:ilvl="2" w:tplc="0416001B" w:tentative="1">
      <w:start w:val="1"/>
      <w:numFmt w:val="bullet"/>
      <w:lvlText w:val=""/>
      <w:lvlJc w:val="left"/>
      <w:pPr>
        <w:ind w:left="2214" w:hanging="360"/>
      </w:pPr>
      <w:rPr>
        <w:rFonts w:ascii="Wingdings" w:hAnsi="Wingdings" w:hint="default"/>
      </w:rPr>
    </w:lvl>
    <w:lvl w:ilvl="3" w:tplc="0416000F" w:tentative="1">
      <w:start w:val="1"/>
      <w:numFmt w:val="bullet"/>
      <w:lvlText w:val=""/>
      <w:lvlJc w:val="left"/>
      <w:pPr>
        <w:ind w:left="2934" w:hanging="360"/>
      </w:pPr>
      <w:rPr>
        <w:rFonts w:ascii="Symbol" w:hAnsi="Symbol" w:hint="default"/>
      </w:rPr>
    </w:lvl>
    <w:lvl w:ilvl="4" w:tplc="04160019" w:tentative="1">
      <w:start w:val="1"/>
      <w:numFmt w:val="bullet"/>
      <w:lvlText w:val="o"/>
      <w:lvlJc w:val="left"/>
      <w:pPr>
        <w:ind w:left="3654" w:hanging="360"/>
      </w:pPr>
      <w:rPr>
        <w:rFonts w:ascii="Courier New" w:hAnsi="Courier New" w:cs="Courier New" w:hint="default"/>
      </w:rPr>
    </w:lvl>
    <w:lvl w:ilvl="5" w:tplc="0416001B" w:tentative="1">
      <w:start w:val="1"/>
      <w:numFmt w:val="bullet"/>
      <w:lvlText w:val=""/>
      <w:lvlJc w:val="left"/>
      <w:pPr>
        <w:ind w:left="4374" w:hanging="360"/>
      </w:pPr>
      <w:rPr>
        <w:rFonts w:ascii="Wingdings" w:hAnsi="Wingdings" w:hint="default"/>
      </w:rPr>
    </w:lvl>
    <w:lvl w:ilvl="6" w:tplc="0416000F" w:tentative="1">
      <w:start w:val="1"/>
      <w:numFmt w:val="bullet"/>
      <w:lvlText w:val=""/>
      <w:lvlJc w:val="left"/>
      <w:pPr>
        <w:ind w:left="5094" w:hanging="360"/>
      </w:pPr>
      <w:rPr>
        <w:rFonts w:ascii="Symbol" w:hAnsi="Symbol" w:hint="default"/>
      </w:rPr>
    </w:lvl>
    <w:lvl w:ilvl="7" w:tplc="04160019" w:tentative="1">
      <w:start w:val="1"/>
      <w:numFmt w:val="bullet"/>
      <w:lvlText w:val="o"/>
      <w:lvlJc w:val="left"/>
      <w:pPr>
        <w:ind w:left="5814" w:hanging="360"/>
      </w:pPr>
      <w:rPr>
        <w:rFonts w:ascii="Courier New" w:hAnsi="Courier New" w:cs="Courier New" w:hint="default"/>
      </w:rPr>
    </w:lvl>
    <w:lvl w:ilvl="8" w:tplc="0416001B" w:tentative="1">
      <w:start w:val="1"/>
      <w:numFmt w:val="bullet"/>
      <w:lvlText w:val=""/>
      <w:lvlJc w:val="left"/>
      <w:pPr>
        <w:ind w:left="6534" w:hanging="360"/>
      </w:pPr>
      <w:rPr>
        <w:rFonts w:ascii="Wingdings" w:hAnsi="Wingdings" w:hint="default"/>
      </w:rPr>
    </w:lvl>
  </w:abstractNum>
  <w:abstractNum w:abstractNumId="17">
    <w:nsid w:val="74936C86"/>
    <w:multiLevelType w:val="multilevel"/>
    <w:tmpl w:val="4C1C55E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9062C15"/>
    <w:multiLevelType w:val="multilevel"/>
    <w:tmpl w:val="F65EF7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3"/>
  </w:num>
  <w:num w:numId="3">
    <w:abstractNumId w:val="2"/>
  </w:num>
  <w:num w:numId="4">
    <w:abstractNumId w:val="7"/>
  </w:num>
  <w:num w:numId="5">
    <w:abstractNumId w:val="5"/>
  </w:num>
  <w:num w:numId="6">
    <w:abstractNumId w:val="3"/>
  </w:num>
  <w:num w:numId="7">
    <w:abstractNumId w:val="8"/>
  </w:num>
  <w:num w:numId="8">
    <w:abstractNumId w:val="16"/>
  </w:num>
  <w:num w:numId="9">
    <w:abstractNumId w:val="17"/>
  </w:num>
  <w:num w:numId="10">
    <w:abstractNumId w:val="18"/>
  </w:num>
  <w:num w:numId="11">
    <w:abstractNumId w:val="6"/>
  </w:num>
  <w:num w:numId="12">
    <w:abstractNumId w:val="15"/>
  </w:num>
  <w:num w:numId="13">
    <w:abstractNumId w:val="11"/>
  </w:num>
  <w:num w:numId="14">
    <w:abstractNumId w:val="1"/>
  </w:num>
  <w:num w:numId="15">
    <w:abstractNumId w:val="4"/>
  </w:num>
  <w:num w:numId="16">
    <w:abstractNumId w:val="12"/>
  </w:num>
  <w:num w:numId="17">
    <w:abstractNumId w:val="10"/>
  </w:num>
  <w:num w:numId="18">
    <w:abstractNumId w:val="14"/>
  </w:num>
  <w:num w:numId="19">
    <w:abstractNumId w:val="2"/>
    <w:lvlOverride w:ilvl="0">
      <w:startOverride w:val="1"/>
    </w:lvlOverride>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02AB4"/>
    <w:rsid w:val="000125FD"/>
    <w:rsid w:val="000173ED"/>
    <w:rsid w:val="00023C4B"/>
    <w:rsid w:val="00024BCC"/>
    <w:rsid w:val="00025E70"/>
    <w:rsid w:val="00030948"/>
    <w:rsid w:val="000318A3"/>
    <w:rsid w:val="00036969"/>
    <w:rsid w:val="00037E14"/>
    <w:rsid w:val="00040D73"/>
    <w:rsid w:val="000437F3"/>
    <w:rsid w:val="00050F39"/>
    <w:rsid w:val="000567E6"/>
    <w:rsid w:val="00061F05"/>
    <w:rsid w:val="000633DA"/>
    <w:rsid w:val="00064E9F"/>
    <w:rsid w:val="00071A8C"/>
    <w:rsid w:val="00073C2B"/>
    <w:rsid w:val="0007451F"/>
    <w:rsid w:val="00074F1C"/>
    <w:rsid w:val="00082B13"/>
    <w:rsid w:val="000876F0"/>
    <w:rsid w:val="00090DE4"/>
    <w:rsid w:val="000A0139"/>
    <w:rsid w:val="000A0677"/>
    <w:rsid w:val="000A2EEE"/>
    <w:rsid w:val="000A5469"/>
    <w:rsid w:val="000A6F45"/>
    <w:rsid w:val="000B07C2"/>
    <w:rsid w:val="000B1EA1"/>
    <w:rsid w:val="000B2173"/>
    <w:rsid w:val="000B6172"/>
    <w:rsid w:val="000C3DC5"/>
    <w:rsid w:val="000D2751"/>
    <w:rsid w:val="000E2BB1"/>
    <w:rsid w:val="000F017B"/>
    <w:rsid w:val="000F1906"/>
    <w:rsid w:val="000F5680"/>
    <w:rsid w:val="001024AE"/>
    <w:rsid w:val="001045F4"/>
    <w:rsid w:val="00106ED2"/>
    <w:rsid w:val="00110BD9"/>
    <w:rsid w:val="0011328C"/>
    <w:rsid w:val="00121704"/>
    <w:rsid w:val="00122090"/>
    <w:rsid w:val="00122BFF"/>
    <w:rsid w:val="0012360F"/>
    <w:rsid w:val="00124793"/>
    <w:rsid w:val="00127156"/>
    <w:rsid w:val="0013057E"/>
    <w:rsid w:val="00135C87"/>
    <w:rsid w:val="00135D02"/>
    <w:rsid w:val="00140978"/>
    <w:rsid w:val="0014158D"/>
    <w:rsid w:val="00141B0E"/>
    <w:rsid w:val="001435CE"/>
    <w:rsid w:val="00152F43"/>
    <w:rsid w:val="00153170"/>
    <w:rsid w:val="00153C83"/>
    <w:rsid w:val="00155F41"/>
    <w:rsid w:val="001601DA"/>
    <w:rsid w:val="001621A5"/>
    <w:rsid w:val="001627E6"/>
    <w:rsid w:val="00166661"/>
    <w:rsid w:val="001713A4"/>
    <w:rsid w:val="00171CC8"/>
    <w:rsid w:val="00172922"/>
    <w:rsid w:val="00177BC6"/>
    <w:rsid w:val="00185764"/>
    <w:rsid w:val="00185923"/>
    <w:rsid w:val="001917A4"/>
    <w:rsid w:val="00194DC2"/>
    <w:rsid w:val="00196CD7"/>
    <w:rsid w:val="001971C1"/>
    <w:rsid w:val="001A0C3B"/>
    <w:rsid w:val="001A44D3"/>
    <w:rsid w:val="001A4D83"/>
    <w:rsid w:val="001B0137"/>
    <w:rsid w:val="001B1410"/>
    <w:rsid w:val="001C1CF7"/>
    <w:rsid w:val="001C1F5D"/>
    <w:rsid w:val="001C40FF"/>
    <w:rsid w:val="001C44A8"/>
    <w:rsid w:val="001D2233"/>
    <w:rsid w:val="001D638B"/>
    <w:rsid w:val="001D65FD"/>
    <w:rsid w:val="001F1997"/>
    <w:rsid w:val="001F2CF3"/>
    <w:rsid w:val="002058B1"/>
    <w:rsid w:val="00210A7B"/>
    <w:rsid w:val="00212532"/>
    <w:rsid w:val="00213042"/>
    <w:rsid w:val="00242057"/>
    <w:rsid w:val="00244FC6"/>
    <w:rsid w:val="00246B86"/>
    <w:rsid w:val="0025259F"/>
    <w:rsid w:val="00253B8E"/>
    <w:rsid w:val="00254B5F"/>
    <w:rsid w:val="00256305"/>
    <w:rsid w:val="0026180C"/>
    <w:rsid w:val="00261A6F"/>
    <w:rsid w:val="00264532"/>
    <w:rsid w:val="002653DD"/>
    <w:rsid w:val="00284B01"/>
    <w:rsid w:val="0028770C"/>
    <w:rsid w:val="00291376"/>
    <w:rsid w:val="002A011E"/>
    <w:rsid w:val="002A07F7"/>
    <w:rsid w:val="002A1560"/>
    <w:rsid w:val="002B2F89"/>
    <w:rsid w:val="002B3987"/>
    <w:rsid w:val="002C007D"/>
    <w:rsid w:val="002D09D9"/>
    <w:rsid w:val="002D26F8"/>
    <w:rsid w:val="002D3118"/>
    <w:rsid w:val="002D3B0F"/>
    <w:rsid w:val="002D53A1"/>
    <w:rsid w:val="002E4341"/>
    <w:rsid w:val="002E5962"/>
    <w:rsid w:val="002E6C13"/>
    <w:rsid w:val="002E76D6"/>
    <w:rsid w:val="002F0C23"/>
    <w:rsid w:val="002F3C74"/>
    <w:rsid w:val="002F3F6F"/>
    <w:rsid w:val="003037AC"/>
    <w:rsid w:val="00303B71"/>
    <w:rsid w:val="00303F32"/>
    <w:rsid w:val="003059EE"/>
    <w:rsid w:val="0030654C"/>
    <w:rsid w:val="003075EE"/>
    <w:rsid w:val="00311130"/>
    <w:rsid w:val="0031419A"/>
    <w:rsid w:val="00314630"/>
    <w:rsid w:val="00314F2D"/>
    <w:rsid w:val="00316BD6"/>
    <w:rsid w:val="00322D06"/>
    <w:rsid w:val="003256E7"/>
    <w:rsid w:val="003301D5"/>
    <w:rsid w:val="00335782"/>
    <w:rsid w:val="00336ED7"/>
    <w:rsid w:val="00343593"/>
    <w:rsid w:val="003435F3"/>
    <w:rsid w:val="0034483D"/>
    <w:rsid w:val="00345769"/>
    <w:rsid w:val="00351D50"/>
    <w:rsid w:val="00357A31"/>
    <w:rsid w:val="0036433B"/>
    <w:rsid w:val="00370B56"/>
    <w:rsid w:val="003734CC"/>
    <w:rsid w:val="0037407B"/>
    <w:rsid w:val="003751D7"/>
    <w:rsid w:val="00377605"/>
    <w:rsid w:val="00380E77"/>
    <w:rsid w:val="00391968"/>
    <w:rsid w:val="003970F9"/>
    <w:rsid w:val="003A5BC9"/>
    <w:rsid w:val="003A7D9E"/>
    <w:rsid w:val="003B055F"/>
    <w:rsid w:val="003B3921"/>
    <w:rsid w:val="003C01DC"/>
    <w:rsid w:val="003C1558"/>
    <w:rsid w:val="003C2E70"/>
    <w:rsid w:val="003D229C"/>
    <w:rsid w:val="003D2606"/>
    <w:rsid w:val="003D2BDB"/>
    <w:rsid w:val="003D4699"/>
    <w:rsid w:val="003D6314"/>
    <w:rsid w:val="003D64C6"/>
    <w:rsid w:val="003D727B"/>
    <w:rsid w:val="003D7869"/>
    <w:rsid w:val="003E0734"/>
    <w:rsid w:val="003E2EB7"/>
    <w:rsid w:val="003F25CA"/>
    <w:rsid w:val="003F60DE"/>
    <w:rsid w:val="00401344"/>
    <w:rsid w:val="004049C3"/>
    <w:rsid w:val="0040574E"/>
    <w:rsid w:val="00406E2C"/>
    <w:rsid w:val="00414D8E"/>
    <w:rsid w:val="00415BAB"/>
    <w:rsid w:val="00416D4B"/>
    <w:rsid w:val="00417980"/>
    <w:rsid w:val="004206ED"/>
    <w:rsid w:val="00420BE7"/>
    <w:rsid w:val="00421DB7"/>
    <w:rsid w:val="004311A1"/>
    <w:rsid w:val="004329A9"/>
    <w:rsid w:val="004337FA"/>
    <w:rsid w:val="00436B9E"/>
    <w:rsid w:val="004377F4"/>
    <w:rsid w:val="00442CC6"/>
    <w:rsid w:val="00444350"/>
    <w:rsid w:val="00445B0B"/>
    <w:rsid w:val="004467A8"/>
    <w:rsid w:val="0045366B"/>
    <w:rsid w:val="00454A1E"/>
    <w:rsid w:val="00454E8D"/>
    <w:rsid w:val="00461311"/>
    <w:rsid w:val="00467502"/>
    <w:rsid w:val="00473D23"/>
    <w:rsid w:val="00481CD0"/>
    <w:rsid w:val="00486BB2"/>
    <w:rsid w:val="00491E03"/>
    <w:rsid w:val="004920E7"/>
    <w:rsid w:val="00492E14"/>
    <w:rsid w:val="00493133"/>
    <w:rsid w:val="004A0236"/>
    <w:rsid w:val="004A3C9F"/>
    <w:rsid w:val="004A52D2"/>
    <w:rsid w:val="004B14C7"/>
    <w:rsid w:val="004B2748"/>
    <w:rsid w:val="004B3BD5"/>
    <w:rsid w:val="004B44F9"/>
    <w:rsid w:val="004C3A1F"/>
    <w:rsid w:val="004C4CBD"/>
    <w:rsid w:val="004C5937"/>
    <w:rsid w:val="004C5BA6"/>
    <w:rsid w:val="004C789F"/>
    <w:rsid w:val="004D049C"/>
    <w:rsid w:val="004D2A17"/>
    <w:rsid w:val="004D4CF0"/>
    <w:rsid w:val="004D5320"/>
    <w:rsid w:val="004D7839"/>
    <w:rsid w:val="004E18F1"/>
    <w:rsid w:val="004E58AB"/>
    <w:rsid w:val="004E6392"/>
    <w:rsid w:val="004E6DB1"/>
    <w:rsid w:val="004E6F2D"/>
    <w:rsid w:val="004F0842"/>
    <w:rsid w:val="004F44AE"/>
    <w:rsid w:val="0050076E"/>
    <w:rsid w:val="005016C3"/>
    <w:rsid w:val="00504CA5"/>
    <w:rsid w:val="00507A85"/>
    <w:rsid w:val="00510D8D"/>
    <w:rsid w:val="00512CE3"/>
    <w:rsid w:val="00516733"/>
    <w:rsid w:val="0052078F"/>
    <w:rsid w:val="005214E5"/>
    <w:rsid w:val="00526CB1"/>
    <w:rsid w:val="00527B7D"/>
    <w:rsid w:val="00531A3D"/>
    <w:rsid w:val="00536107"/>
    <w:rsid w:val="005439DF"/>
    <w:rsid w:val="005440EC"/>
    <w:rsid w:val="0054484D"/>
    <w:rsid w:val="00545444"/>
    <w:rsid w:val="00546D19"/>
    <w:rsid w:val="00564191"/>
    <w:rsid w:val="00573898"/>
    <w:rsid w:val="005845E0"/>
    <w:rsid w:val="005938E7"/>
    <w:rsid w:val="0059430C"/>
    <w:rsid w:val="00595711"/>
    <w:rsid w:val="005957FB"/>
    <w:rsid w:val="005A25D8"/>
    <w:rsid w:val="005A7BCB"/>
    <w:rsid w:val="005B198C"/>
    <w:rsid w:val="005B1A1C"/>
    <w:rsid w:val="005B2561"/>
    <w:rsid w:val="005B6D38"/>
    <w:rsid w:val="005D3CE7"/>
    <w:rsid w:val="005D69E3"/>
    <w:rsid w:val="005F314C"/>
    <w:rsid w:val="005F39EA"/>
    <w:rsid w:val="006054DA"/>
    <w:rsid w:val="00612936"/>
    <w:rsid w:val="00620383"/>
    <w:rsid w:val="00623538"/>
    <w:rsid w:val="006248E4"/>
    <w:rsid w:val="006279C2"/>
    <w:rsid w:val="00631F7E"/>
    <w:rsid w:val="006367CD"/>
    <w:rsid w:val="006368C4"/>
    <w:rsid w:val="00642067"/>
    <w:rsid w:val="00642A5B"/>
    <w:rsid w:val="00646322"/>
    <w:rsid w:val="0064713E"/>
    <w:rsid w:val="00651E20"/>
    <w:rsid w:val="00652682"/>
    <w:rsid w:val="00664631"/>
    <w:rsid w:val="00664C49"/>
    <w:rsid w:val="006666C8"/>
    <w:rsid w:val="006669D0"/>
    <w:rsid w:val="00676407"/>
    <w:rsid w:val="00681A4B"/>
    <w:rsid w:val="00686453"/>
    <w:rsid w:val="006937FB"/>
    <w:rsid w:val="006B1238"/>
    <w:rsid w:val="006B171E"/>
    <w:rsid w:val="006B212A"/>
    <w:rsid w:val="006B583D"/>
    <w:rsid w:val="006B7A54"/>
    <w:rsid w:val="006C161F"/>
    <w:rsid w:val="006C2937"/>
    <w:rsid w:val="006C3378"/>
    <w:rsid w:val="006C4225"/>
    <w:rsid w:val="006C6789"/>
    <w:rsid w:val="006C7DB6"/>
    <w:rsid w:val="006D088B"/>
    <w:rsid w:val="006D0938"/>
    <w:rsid w:val="006D1049"/>
    <w:rsid w:val="006D5023"/>
    <w:rsid w:val="006D6B0B"/>
    <w:rsid w:val="006E1AF8"/>
    <w:rsid w:val="006E371D"/>
    <w:rsid w:val="006F5608"/>
    <w:rsid w:val="00711069"/>
    <w:rsid w:val="00711632"/>
    <w:rsid w:val="00714D26"/>
    <w:rsid w:val="0072052A"/>
    <w:rsid w:val="00721615"/>
    <w:rsid w:val="00730550"/>
    <w:rsid w:val="0073105B"/>
    <w:rsid w:val="0073130A"/>
    <w:rsid w:val="007362AE"/>
    <w:rsid w:val="00746C1D"/>
    <w:rsid w:val="00747864"/>
    <w:rsid w:val="00752E22"/>
    <w:rsid w:val="0075340A"/>
    <w:rsid w:val="00753BDC"/>
    <w:rsid w:val="007545D6"/>
    <w:rsid w:val="00754F81"/>
    <w:rsid w:val="00762834"/>
    <w:rsid w:val="00762FB2"/>
    <w:rsid w:val="00763002"/>
    <w:rsid w:val="00763D77"/>
    <w:rsid w:val="00764402"/>
    <w:rsid w:val="00767441"/>
    <w:rsid w:val="00767CB2"/>
    <w:rsid w:val="007750E2"/>
    <w:rsid w:val="00775F74"/>
    <w:rsid w:val="00785874"/>
    <w:rsid w:val="00787F06"/>
    <w:rsid w:val="007941B2"/>
    <w:rsid w:val="00797623"/>
    <w:rsid w:val="007A0F17"/>
    <w:rsid w:val="007A22E4"/>
    <w:rsid w:val="007B32FD"/>
    <w:rsid w:val="007C0393"/>
    <w:rsid w:val="007C19FF"/>
    <w:rsid w:val="007C4F37"/>
    <w:rsid w:val="007D1EC4"/>
    <w:rsid w:val="007D54AB"/>
    <w:rsid w:val="007E01D8"/>
    <w:rsid w:val="007E055E"/>
    <w:rsid w:val="007E19A8"/>
    <w:rsid w:val="007E6AA2"/>
    <w:rsid w:val="007E74A9"/>
    <w:rsid w:val="007F0924"/>
    <w:rsid w:val="007F4571"/>
    <w:rsid w:val="00802204"/>
    <w:rsid w:val="0080362B"/>
    <w:rsid w:val="00805577"/>
    <w:rsid w:val="008062DC"/>
    <w:rsid w:val="008065B0"/>
    <w:rsid w:val="00807210"/>
    <w:rsid w:val="008129E5"/>
    <w:rsid w:val="008133B8"/>
    <w:rsid w:val="00813F97"/>
    <w:rsid w:val="00814A2A"/>
    <w:rsid w:val="008179BD"/>
    <w:rsid w:val="008252E7"/>
    <w:rsid w:val="00835516"/>
    <w:rsid w:val="0084294F"/>
    <w:rsid w:val="008439D1"/>
    <w:rsid w:val="00845AA3"/>
    <w:rsid w:val="008463BF"/>
    <w:rsid w:val="008509FC"/>
    <w:rsid w:val="0085107E"/>
    <w:rsid w:val="00854B50"/>
    <w:rsid w:val="00855B29"/>
    <w:rsid w:val="00863EEE"/>
    <w:rsid w:val="008715CB"/>
    <w:rsid w:val="008752D6"/>
    <w:rsid w:val="00877635"/>
    <w:rsid w:val="00882B2C"/>
    <w:rsid w:val="00882CC0"/>
    <w:rsid w:val="00892666"/>
    <w:rsid w:val="00896C93"/>
    <w:rsid w:val="008A2788"/>
    <w:rsid w:val="008A2DA2"/>
    <w:rsid w:val="008A4148"/>
    <w:rsid w:val="008A7B30"/>
    <w:rsid w:val="008B4844"/>
    <w:rsid w:val="008B5602"/>
    <w:rsid w:val="008B7873"/>
    <w:rsid w:val="008B7F9A"/>
    <w:rsid w:val="008C51E9"/>
    <w:rsid w:val="008C6149"/>
    <w:rsid w:val="008F195A"/>
    <w:rsid w:val="008F1AA4"/>
    <w:rsid w:val="00903C3C"/>
    <w:rsid w:val="00907034"/>
    <w:rsid w:val="009076CD"/>
    <w:rsid w:val="00912EC2"/>
    <w:rsid w:val="009130ED"/>
    <w:rsid w:val="00917CBA"/>
    <w:rsid w:val="00924127"/>
    <w:rsid w:val="009247C4"/>
    <w:rsid w:val="0093153A"/>
    <w:rsid w:val="00934438"/>
    <w:rsid w:val="0093798C"/>
    <w:rsid w:val="00943205"/>
    <w:rsid w:val="00944F98"/>
    <w:rsid w:val="00945F87"/>
    <w:rsid w:val="00954CEA"/>
    <w:rsid w:val="00961389"/>
    <w:rsid w:val="00962405"/>
    <w:rsid w:val="0097374B"/>
    <w:rsid w:val="00982015"/>
    <w:rsid w:val="00990257"/>
    <w:rsid w:val="0099402F"/>
    <w:rsid w:val="00994377"/>
    <w:rsid w:val="00995C0C"/>
    <w:rsid w:val="00997792"/>
    <w:rsid w:val="009B332F"/>
    <w:rsid w:val="009C1949"/>
    <w:rsid w:val="009C34B9"/>
    <w:rsid w:val="009C6B18"/>
    <w:rsid w:val="009D1DA8"/>
    <w:rsid w:val="009D3195"/>
    <w:rsid w:val="009D53BA"/>
    <w:rsid w:val="009D58E7"/>
    <w:rsid w:val="009E05F0"/>
    <w:rsid w:val="009E1F9F"/>
    <w:rsid w:val="009E3536"/>
    <w:rsid w:val="009F19F3"/>
    <w:rsid w:val="009F2E30"/>
    <w:rsid w:val="009F7D0D"/>
    <w:rsid w:val="00A00584"/>
    <w:rsid w:val="00A01E78"/>
    <w:rsid w:val="00A025FE"/>
    <w:rsid w:val="00A21D69"/>
    <w:rsid w:val="00A2323F"/>
    <w:rsid w:val="00A3127A"/>
    <w:rsid w:val="00A3217A"/>
    <w:rsid w:val="00A3777A"/>
    <w:rsid w:val="00A37AF6"/>
    <w:rsid w:val="00A52064"/>
    <w:rsid w:val="00A55D9B"/>
    <w:rsid w:val="00A606F0"/>
    <w:rsid w:val="00A61DB9"/>
    <w:rsid w:val="00A645B2"/>
    <w:rsid w:val="00A65380"/>
    <w:rsid w:val="00A8116B"/>
    <w:rsid w:val="00A8132F"/>
    <w:rsid w:val="00A86107"/>
    <w:rsid w:val="00A868D0"/>
    <w:rsid w:val="00A86D29"/>
    <w:rsid w:val="00A9223A"/>
    <w:rsid w:val="00A94AFA"/>
    <w:rsid w:val="00AA20B9"/>
    <w:rsid w:val="00AA2AD2"/>
    <w:rsid w:val="00AA5FCB"/>
    <w:rsid w:val="00AB436D"/>
    <w:rsid w:val="00AB4C0E"/>
    <w:rsid w:val="00AB685B"/>
    <w:rsid w:val="00AB6A85"/>
    <w:rsid w:val="00AC1551"/>
    <w:rsid w:val="00AC15F5"/>
    <w:rsid w:val="00AC4225"/>
    <w:rsid w:val="00AD0884"/>
    <w:rsid w:val="00AD2F40"/>
    <w:rsid w:val="00AE079B"/>
    <w:rsid w:val="00AE2CB8"/>
    <w:rsid w:val="00AE4778"/>
    <w:rsid w:val="00AE6FB2"/>
    <w:rsid w:val="00AF2099"/>
    <w:rsid w:val="00B00363"/>
    <w:rsid w:val="00B03630"/>
    <w:rsid w:val="00B0421C"/>
    <w:rsid w:val="00B17008"/>
    <w:rsid w:val="00B17F07"/>
    <w:rsid w:val="00B213FE"/>
    <w:rsid w:val="00B23FAE"/>
    <w:rsid w:val="00B34328"/>
    <w:rsid w:val="00B3794C"/>
    <w:rsid w:val="00B44576"/>
    <w:rsid w:val="00B47927"/>
    <w:rsid w:val="00B47D8B"/>
    <w:rsid w:val="00B52F94"/>
    <w:rsid w:val="00B5562B"/>
    <w:rsid w:val="00B55A07"/>
    <w:rsid w:val="00B5727F"/>
    <w:rsid w:val="00B577B6"/>
    <w:rsid w:val="00B60554"/>
    <w:rsid w:val="00B60E4A"/>
    <w:rsid w:val="00B624B3"/>
    <w:rsid w:val="00B64657"/>
    <w:rsid w:val="00B7266C"/>
    <w:rsid w:val="00B729CA"/>
    <w:rsid w:val="00B72FDB"/>
    <w:rsid w:val="00B74572"/>
    <w:rsid w:val="00B77482"/>
    <w:rsid w:val="00B82D8B"/>
    <w:rsid w:val="00B83241"/>
    <w:rsid w:val="00B84FD0"/>
    <w:rsid w:val="00B92492"/>
    <w:rsid w:val="00B96161"/>
    <w:rsid w:val="00B96BD6"/>
    <w:rsid w:val="00BA04A4"/>
    <w:rsid w:val="00BA30BD"/>
    <w:rsid w:val="00BA7F28"/>
    <w:rsid w:val="00BB056B"/>
    <w:rsid w:val="00BB264B"/>
    <w:rsid w:val="00BB49F8"/>
    <w:rsid w:val="00BB70F0"/>
    <w:rsid w:val="00BC0288"/>
    <w:rsid w:val="00BC0C72"/>
    <w:rsid w:val="00BC271E"/>
    <w:rsid w:val="00BC3165"/>
    <w:rsid w:val="00BC5D58"/>
    <w:rsid w:val="00BD6B8C"/>
    <w:rsid w:val="00BD7159"/>
    <w:rsid w:val="00BD72AE"/>
    <w:rsid w:val="00BD760E"/>
    <w:rsid w:val="00BF3F50"/>
    <w:rsid w:val="00BF4720"/>
    <w:rsid w:val="00BF4AC7"/>
    <w:rsid w:val="00BF5243"/>
    <w:rsid w:val="00C02600"/>
    <w:rsid w:val="00C02AB4"/>
    <w:rsid w:val="00C05B12"/>
    <w:rsid w:val="00C05EFA"/>
    <w:rsid w:val="00C06D71"/>
    <w:rsid w:val="00C14B19"/>
    <w:rsid w:val="00C153C3"/>
    <w:rsid w:val="00C22010"/>
    <w:rsid w:val="00C22831"/>
    <w:rsid w:val="00C24B4D"/>
    <w:rsid w:val="00C3078F"/>
    <w:rsid w:val="00C30B32"/>
    <w:rsid w:val="00C33191"/>
    <w:rsid w:val="00C36CC9"/>
    <w:rsid w:val="00C37CEF"/>
    <w:rsid w:val="00C41732"/>
    <w:rsid w:val="00C47D5D"/>
    <w:rsid w:val="00C6184D"/>
    <w:rsid w:val="00C61A40"/>
    <w:rsid w:val="00C62E86"/>
    <w:rsid w:val="00C66767"/>
    <w:rsid w:val="00C7564D"/>
    <w:rsid w:val="00C8535E"/>
    <w:rsid w:val="00C85B92"/>
    <w:rsid w:val="00C85F56"/>
    <w:rsid w:val="00C9318A"/>
    <w:rsid w:val="00C934D6"/>
    <w:rsid w:val="00C9369E"/>
    <w:rsid w:val="00C951D3"/>
    <w:rsid w:val="00C96FBD"/>
    <w:rsid w:val="00CA00C3"/>
    <w:rsid w:val="00CA3C30"/>
    <w:rsid w:val="00CA6830"/>
    <w:rsid w:val="00CA6D19"/>
    <w:rsid w:val="00CA7B5E"/>
    <w:rsid w:val="00CB166A"/>
    <w:rsid w:val="00CB5D3A"/>
    <w:rsid w:val="00CB6DD9"/>
    <w:rsid w:val="00CB7C97"/>
    <w:rsid w:val="00CC1FFC"/>
    <w:rsid w:val="00CC3D63"/>
    <w:rsid w:val="00CD1F89"/>
    <w:rsid w:val="00CD2D6C"/>
    <w:rsid w:val="00CD308D"/>
    <w:rsid w:val="00CD5018"/>
    <w:rsid w:val="00CD66F2"/>
    <w:rsid w:val="00CE1BEC"/>
    <w:rsid w:val="00CE68F2"/>
    <w:rsid w:val="00D064E3"/>
    <w:rsid w:val="00D11C3D"/>
    <w:rsid w:val="00D202AA"/>
    <w:rsid w:val="00D213BC"/>
    <w:rsid w:val="00D221CC"/>
    <w:rsid w:val="00D23A11"/>
    <w:rsid w:val="00D23FB8"/>
    <w:rsid w:val="00D24236"/>
    <w:rsid w:val="00D35C98"/>
    <w:rsid w:val="00D36507"/>
    <w:rsid w:val="00D372C9"/>
    <w:rsid w:val="00D4346A"/>
    <w:rsid w:val="00D44A67"/>
    <w:rsid w:val="00D47903"/>
    <w:rsid w:val="00D50BFF"/>
    <w:rsid w:val="00D546E8"/>
    <w:rsid w:val="00D62A6A"/>
    <w:rsid w:val="00D6582A"/>
    <w:rsid w:val="00D664CE"/>
    <w:rsid w:val="00D77200"/>
    <w:rsid w:val="00D77C54"/>
    <w:rsid w:val="00D80A38"/>
    <w:rsid w:val="00D80A96"/>
    <w:rsid w:val="00D924B6"/>
    <w:rsid w:val="00D92F6A"/>
    <w:rsid w:val="00D935FA"/>
    <w:rsid w:val="00D95844"/>
    <w:rsid w:val="00D97426"/>
    <w:rsid w:val="00DA287E"/>
    <w:rsid w:val="00DA4A99"/>
    <w:rsid w:val="00DA57CD"/>
    <w:rsid w:val="00DA791F"/>
    <w:rsid w:val="00DA7BE6"/>
    <w:rsid w:val="00DC5475"/>
    <w:rsid w:val="00DC58DE"/>
    <w:rsid w:val="00DC6382"/>
    <w:rsid w:val="00DC7B4F"/>
    <w:rsid w:val="00DD3402"/>
    <w:rsid w:val="00DD4B68"/>
    <w:rsid w:val="00DD5404"/>
    <w:rsid w:val="00DE40A8"/>
    <w:rsid w:val="00DE4E98"/>
    <w:rsid w:val="00DE5871"/>
    <w:rsid w:val="00DF07BF"/>
    <w:rsid w:val="00DF0D81"/>
    <w:rsid w:val="00DF16BF"/>
    <w:rsid w:val="00DF4BE7"/>
    <w:rsid w:val="00DF79F7"/>
    <w:rsid w:val="00E02BA6"/>
    <w:rsid w:val="00E0490A"/>
    <w:rsid w:val="00E1139E"/>
    <w:rsid w:val="00E15524"/>
    <w:rsid w:val="00E30550"/>
    <w:rsid w:val="00E31810"/>
    <w:rsid w:val="00E329EC"/>
    <w:rsid w:val="00E337DA"/>
    <w:rsid w:val="00E3650B"/>
    <w:rsid w:val="00E408A9"/>
    <w:rsid w:val="00E40F5A"/>
    <w:rsid w:val="00E41DF7"/>
    <w:rsid w:val="00E41E10"/>
    <w:rsid w:val="00E44A07"/>
    <w:rsid w:val="00E5088F"/>
    <w:rsid w:val="00E52F2C"/>
    <w:rsid w:val="00E576A6"/>
    <w:rsid w:val="00E57A73"/>
    <w:rsid w:val="00E734B0"/>
    <w:rsid w:val="00E75250"/>
    <w:rsid w:val="00E762E8"/>
    <w:rsid w:val="00E76438"/>
    <w:rsid w:val="00E777C1"/>
    <w:rsid w:val="00E82020"/>
    <w:rsid w:val="00E83603"/>
    <w:rsid w:val="00E83FBF"/>
    <w:rsid w:val="00E85C9C"/>
    <w:rsid w:val="00E97051"/>
    <w:rsid w:val="00EA32D7"/>
    <w:rsid w:val="00EB0B6D"/>
    <w:rsid w:val="00EB1595"/>
    <w:rsid w:val="00EC17A7"/>
    <w:rsid w:val="00EC192B"/>
    <w:rsid w:val="00ED26F1"/>
    <w:rsid w:val="00ED3320"/>
    <w:rsid w:val="00ED6859"/>
    <w:rsid w:val="00ED7B29"/>
    <w:rsid w:val="00EE5783"/>
    <w:rsid w:val="00EE6734"/>
    <w:rsid w:val="00EE6C0F"/>
    <w:rsid w:val="00EF1DB7"/>
    <w:rsid w:val="00EF35CC"/>
    <w:rsid w:val="00EF55DC"/>
    <w:rsid w:val="00F003A5"/>
    <w:rsid w:val="00F01A4C"/>
    <w:rsid w:val="00F03BA9"/>
    <w:rsid w:val="00F06518"/>
    <w:rsid w:val="00F073AF"/>
    <w:rsid w:val="00F11DF7"/>
    <w:rsid w:val="00F141E0"/>
    <w:rsid w:val="00F153FB"/>
    <w:rsid w:val="00F220D2"/>
    <w:rsid w:val="00F2342B"/>
    <w:rsid w:val="00F23E70"/>
    <w:rsid w:val="00F2487E"/>
    <w:rsid w:val="00F2657A"/>
    <w:rsid w:val="00F32A59"/>
    <w:rsid w:val="00F42494"/>
    <w:rsid w:val="00F43DB4"/>
    <w:rsid w:val="00F44D6E"/>
    <w:rsid w:val="00F4680A"/>
    <w:rsid w:val="00F52712"/>
    <w:rsid w:val="00F538DD"/>
    <w:rsid w:val="00F62388"/>
    <w:rsid w:val="00F64056"/>
    <w:rsid w:val="00F70A00"/>
    <w:rsid w:val="00F71592"/>
    <w:rsid w:val="00F7161F"/>
    <w:rsid w:val="00F72C1D"/>
    <w:rsid w:val="00F84E83"/>
    <w:rsid w:val="00F84EB6"/>
    <w:rsid w:val="00F85C7A"/>
    <w:rsid w:val="00F91C5F"/>
    <w:rsid w:val="00F92B8B"/>
    <w:rsid w:val="00F9306A"/>
    <w:rsid w:val="00F95493"/>
    <w:rsid w:val="00F959FF"/>
    <w:rsid w:val="00F966B4"/>
    <w:rsid w:val="00FA2549"/>
    <w:rsid w:val="00FA70E5"/>
    <w:rsid w:val="00FB1A63"/>
    <w:rsid w:val="00FB246A"/>
    <w:rsid w:val="00FB5167"/>
    <w:rsid w:val="00FB5855"/>
    <w:rsid w:val="00FB6EFF"/>
    <w:rsid w:val="00FB7B6C"/>
    <w:rsid w:val="00FC1FF6"/>
    <w:rsid w:val="00FC6E37"/>
    <w:rsid w:val="00FC7CAF"/>
    <w:rsid w:val="00FC7DF8"/>
    <w:rsid w:val="00FD00A7"/>
    <w:rsid w:val="00FD09D9"/>
    <w:rsid w:val="00FD2303"/>
    <w:rsid w:val="00FD78CC"/>
    <w:rsid w:val="00FE22F7"/>
    <w:rsid w:val="00FE4763"/>
    <w:rsid w:val="00FE7286"/>
    <w:rsid w:val="00FF1ADA"/>
    <w:rsid w:val="00FF2840"/>
    <w:rsid w:val="00FF4833"/>
    <w:rsid w:val="00FF48DE"/>
    <w:rsid w:val="00FF5F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344"/>
    <w:pPr>
      <w:spacing w:after="120"/>
    </w:pPr>
  </w:style>
  <w:style w:type="paragraph" w:styleId="Ttulo1">
    <w:name w:val="heading 1"/>
    <w:aliases w:val="EMENTA"/>
    <w:basedOn w:val="Normal"/>
    <w:next w:val="Normal"/>
    <w:qFormat/>
    <w:rsid w:val="00401344"/>
    <w:pPr>
      <w:keepNext/>
      <w:outlineLvl w:val="0"/>
    </w:pPr>
    <w:rPr>
      <w:rFonts w:ascii="Arial" w:hAnsi="Arial"/>
      <w:b/>
      <w:sz w:val="28"/>
    </w:rPr>
  </w:style>
  <w:style w:type="paragraph" w:styleId="Ttulo2">
    <w:name w:val="heading 2"/>
    <w:basedOn w:val="Normal"/>
    <w:next w:val="Normal"/>
    <w:qFormat/>
    <w:rsid w:val="00401344"/>
    <w:pPr>
      <w:keepNext/>
      <w:outlineLvl w:val="1"/>
    </w:pPr>
    <w:rPr>
      <w:b/>
      <w:sz w:val="24"/>
    </w:rPr>
  </w:style>
  <w:style w:type="paragraph" w:styleId="Ttulo3">
    <w:name w:val="heading 3"/>
    <w:basedOn w:val="Normal"/>
    <w:next w:val="Normal"/>
    <w:qFormat/>
    <w:rsid w:val="00401344"/>
    <w:pPr>
      <w:keepNext/>
      <w:outlineLvl w:val="2"/>
    </w:pPr>
    <w:rPr>
      <w:sz w:val="24"/>
    </w:rPr>
  </w:style>
  <w:style w:type="paragraph" w:styleId="Ttulo4">
    <w:name w:val="heading 4"/>
    <w:basedOn w:val="Normal"/>
    <w:next w:val="Normal"/>
    <w:qFormat/>
    <w:rsid w:val="00401344"/>
    <w:pPr>
      <w:keepNext/>
      <w:tabs>
        <w:tab w:val="left" w:pos="120"/>
      </w:tabs>
      <w:jc w:val="both"/>
      <w:outlineLvl w:val="3"/>
    </w:pPr>
    <w:rPr>
      <w:sz w:val="24"/>
    </w:rPr>
  </w:style>
  <w:style w:type="paragraph" w:styleId="Ttulo5">
    <w:name w:val="heading 5"/>
    <w:basedOn w:val="Normal"/>
    <w:next w:val="Normal"/>
    <w:qFormat/>
    <w:rsid w:val="00401344"/>
    <w:pPr>
      <w:keepNext/>
      <w:jc w:val="both"/>
      <w:outlineLvl w:val="4"/>
    </w:pPr>
    <w:rPr>
      <w:b/>
      <w:sz w:val="24"/>
    </w:rPr>
  </w:style>
  <w:style w:type="paragraph" w:styleId="Ttulo6">
    <w:name w:val="heading 6"/>
    <w:basedOn w:val="Normal"/>
    <w:next w:val="Normal"/>
    <w:qFormat/>
    <w:rsid w:val="00401344"/>
    <w:pPr>
      <w:keepNext/>
      <w:jc w:val="center"/>
      <w:outlineLvl w:val="5"/>
    </w:pPr>
    <w:rPr>
      <w:b/>
      <w:sz w:val="24"/>
    </w:rPr>
  </w:style>
  <w:style w:type="paragraph" w:styleId="Ttulo7">
    <w:name w:val="heading 7"/>
    <w:basedOn w:val="Normal"/>
    <w:next w:val="Normal"/>
    <w:qFormat/>
    <w:rsid w:val="00401344"/>
    <w:pPr>
      <w:keepNext/>
      <w:tabs>
        <w:tab w:val="left" w:pos="120"/>
      </w:tabs>
      <w:ind w:left="708"/>
      <w:outlineLvl w:val="6"/>
    </w:pPr>
    <w:rPr>
      <w:sz w:val="24"/>
    </w:rPr>
  </w:style>
  <w:style w:type="paragraph" w:styleId="Ttulo8">
    <w:name w:val="heading 8"/>
    <w:basedOn w:val="Normal"/>
    <w:next w:val="Normal"/>
    <w:qFormat/>
    <w:rsid w:val="00401344"/>
    <w:pPr>
      <w:keepNext/>
      <w:outlineLvl w:val="7"/>
    </w:pPr>
    <w:rPr>
      <w:b/>
      <w:i/>
      <w:sz w:val="24"/>
    </w:rPr>
  </w:style>
  <w:style w:type="paragraph" w:styleId="Ttulo9">
    <w:name w:val="heading 9"/>
    <w:basedOn w:val="Normal"/>
    <w:next w:val="Normal"/>
    <w:qFormat/>
    <w:rsid w:val="00401344"/>
    <w:pPr>
      <w:keepNext/>
      <w:tabs>
        <w:tab w:val="left" w:pos="0"/>
      </w:tabs>
      <w:ind w:left="25"/>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01344"/>
    <w:pPr>
      <w:tabs>
        <w:tab w:val="center" w:pos="4419"/>
        <w:tab w:val="right" w:pos="8838"/>
      </w:tabs>
    </w:pPr>
    <w:rPr>
      <w:sz w:val="24"/>
    </w:rPr>
  </w:style>
  <w:style w:type="paragraph" w:styleId="Rodap">
    <w:name w:val="footer"/>
    <w:basedOn w:val="Normal"/>
    <w:rsid w:val="00401344"/>
    <w:pPr>
      <w:tabs>
        <w:tab w:val="center" w:pos="4419"/>
        <w:tab w:val="right" w:pos="8838"/>
      </w:tabs>
    </w:pPr>
    <w:rPr>
      <w:sz w:val="24"/>
    </w:rPr>
  </w:style>
  <w:style w:type="paragraph" w:styleId="Textodenotadefim">
    <w:name w:val="endnote text"/>
    <w:basedOn w:val="Normal"/>
    <w:semiHidden/>
    <w:rsid w:val="00401344"/>
  </w:style>
  <w:style w:type="paragraph" w:styleId="Ttulo">
    <w:name w:val="Title"/>
    <w:basedOn w:val="Normal"/>
    <w:qFormat/>
    <w:rsid w:val="00401344"/>
    <w:pPr>
      <w:jc w:val="center"/>
    </w:pPr>
    <w:rPr>
      <w:b/>
      <w:sz w:val="24"/>
    </w:rPr>
  </w:style>
  <w:style w:type="paragraph" w:styleId="Corpodetexto">
    <w:name w:val="Body Text"/>
    <w:basedOn w:val="Normal"/>
    <w:rsid w:val="00401344"/>
    <w:pPr>
      <w:tabs>
        <w:tab w:val="left" w:pos="567"/>
      </w:tabs>
      <w:jc w:val="both"/>
    </w:pPr>
    <w:rPr>
      <w:sz w:val="24"/>
    </w:rPr>
  </w:style>
  <w:style w:type="paragraph" w:styleId="Textodenotaderodap">
    <w:name w:val="footnote text"/>
    <w:basedOn w:val="Normal"/>
    <w:semiHidden/>
    <w:rsid w:val="00401344"/>
    <w:rPr>
      <w:rFonts w:ascii="Times New (W1)" w:hAnsi="Times New (W1)"/>
      <w:sz w:val="24"/>
    </w:rPr>
  </w:style>
  <w:style w:type="paragraph" w:styleId="Corpodetexto2">
    <w:name w:val="Body Text 2"/>
    <w:basedOn w:val="Normal"/>
    <w:rsid w:val="00401344"/>
    <w:pPr>
      <w:spacing w:before="120"/>
    </w:pPr>
    <w:rPr>
      <w:sz w:val="24"/>
    </w:rPr>
  </w:style>
  <w:style w:type="paragraph" w:customStyle="1" w:styleId="Citaolongamonografia">
    <w:name w:val="Citação longa_monografia"/>
    <w:basedOn w:val="Corpodetexto3"/>
    <w:autoRedefine/>
    <w:rsid w:val="00401344"/>
    <w:pPr>
      <w:spacing w:after="0"/>
    </w:pPr>
    <w:rPr>
      <w:b/>
      <w:noProof/>
      <w:color w:val="000000"/>
      <w:sz w:val="24"/>
    </w:rPr>
  </w:style>
  <w:style w:type="paragraph" w:styleId="Corpodetexto3">
    <w:name w:val="Body Text 3"/>
    <w:basedOn w:val="Normal"/>
    <w:rsid w:val="00401344"/>
    <w:rPr>
      <w:sz w:val="16"/>
    </w:rPr>
  </w:style>
  <w:style w:type="character" w:styleId="Refdenotaderodap">
    <w:name w:val="footnote reference"/>
    <w:basedOn w:val="Fontepargpadro"/>
    <w:semiHidden/>
    <w:rsid w:val="00401344"/>
    <w:rPr>
      <w:vertAlign w:val="superscript"/>
    </w:rPr>
  </w:style>
  <w:style w:type="paragraph" w:styleId="Recuodecorpodetexto2">
    <w:name w:val="Body Text Indent 2"/>
    <w:basedOn w:val="Normal"/>
    <w:rsid w:val="00401344"/>
    <w:pPr>
      <w:spacing w:before="120" w:line="480" w:lineRule="auto"/>
      <w:ind w:firstLine="851"/>
      <w:jc w:val="both"/>
    </w:pPr>
    <w:rPr>
      <w:rFonts w:ascii="Arial" w:hAnsi="Arial"/>
      <w:noProof/>
      <w:color w:val="000000"/>
      <w:sz w:val="24"/>
    </w:rPr>
  </w:style>
  <w:style w:type="character" w:styleId="Hyperlink">
    <w:name w:val="Hyperlink"/>
    <w:basedOn w:val="Fontepargpadro"/>
    <w:rsid w:val="00401344"/>
    <w:rPr>
      <w:color w:val="0000FF"/>
      <w:u w:val="single"/>
    </w:rPr>
  </w:style>
  <w:style w:type="paragraph" w:styleId="MapadoDocumento">
    <w:name w:val="Document Map"/>
    <w:basedOn w:val="Normal"/>
    <w:semiHidden/>
    <w:rsid w:val="00401344"/>
    <w:pPr>
      <w:shd w:val="clear" w:color="auto" w:fill="000080"/>
    </w:pPr>
    <w:rPr>
      <w:rFonts w:ascii="Tahoma" w:hAnsi="Tahoma"/>
    </w:rPr>
  </w:style>
  <w:style w:type="paragraph" w:styleId="Recuodecorpodetexto">
    <w:name w:val="Body Text Indent"/>
    <w:basedOn w:val="Normal"/>
    <w:rsid w:val="00401344"/>
    <w:pPr>
      <w:ind w:left="708" w:firstLine="708"/>
    </w:pPr>
    <w:rPr>
      <w:i/>
      <w:sz w:val="24"/>
    </w:rPr>
  </w:style>
  <w:style w:type="paragraph" w:styleId="Recuodecorpodetexto3">
    <w:name w:val="Body Text Indent 3"/>
    <w:basedOn w:val="Normal"/>
    <w:rsid w:val="00401344"/>
    <w:pPr>
      <w:ind w:left="1134"/>
    </w:pPr>
    <w:rPr>
      <w:sz w:val="24"/>
    </w:rPr>
  </w:style>
  <w:style w:type="character" w:styleId="HiperlinkVisitado">
    <w:name w:val="FollowedHyperlink"/>
    <w:basedOn w:val="Fontepargpadro"/>
    <w:rsid w:val="00401344"/>
    <w:rPr>
      <w:color w:val="800080"/>
      <w:u w:val="single"/>
    </w:rPr>
  </w:style>
  <w:style w:type="paragraph" w:styleId="Subttulo">
    <w:name w:val="Subtitle"/>
    <w:basedOn w:val="Normal"/>
    <w:qFormat/>
    <w:rsid w:val="00401344"/>
    <w:pPr>
      <w:jc w:val="both"/>
    </w:pPr>
    <w:rPr>
      <w:b/>
      <w:sz w:val="24"/>
    </w:rPr>
  </w:style>
  <w:style w:type="character" w:customStyle="1" w:styleId="Hiperlink">
    <w:name w:val="Hiperlink"/>
    <w:rsid w:val="00401344"/>
    <w:rPr>
      <w:color w:val="0000FF"/>
      <w:u w:val="single"/>
    </w:rPr>
  </w:style>
  <w:style w:type="character" w:customStyle="1" w:styleId="HTMLMarkup">
    <w:name w:val="HTML Markup"/>
    <w:rsid w:val="00401344"/>
    <w:rPr>
      <w:vanish/>
      <w:color w:val="FF0000"/>
    </w:rPr>
  </w:style>
  <w:style w:type="paragraph" w:styleId="Textodebalo">
    <w:name w:val="Balloon Text"/>
    <w:basedOn w:val="Normal"/>
    <w:link w:val="TextodebaloChar"/>
    <w:uiPriority w:val="99"/>
    <w:rsid w:val="00EF55DC"/>
    <w:rPr>
      <w:rFonts w:ascii="Tahoma" w:hAnsi="Tahoma" w:cs="Tahoma"/>
      <w:sz w:val="16"/>
      <w:szCs w:val="16"/>
    </w:rPr>
  </w:style>
  <w:style w:type="character" w:customStyle="1" w:styleId="TextodebaloChar">
    <w:name w:val="Texto de balão Char"/>
    <w:basedOn w:val="Fontepargpadro"/>
    <w:link w:val="Textodebalo"/>
    <w:uiPriority w:val="99"/>
    <w:rsid w:val="00EF55DC"/>
    <w:rPr>
      <w:rFonts w:ascii="Tahoma" w:hAnsi="Tahoma" w:cs="Tahoma"/>
      <w:sz w:val="16"/>
      <w:szCs w:val="16"/>
    </w:rPr>
  </w:style>
  <w:style w:type="paragraph" w:customStyle="1" w:styleId="Artigo">
    <w:name w:val="#Artigo"/>
    <w:basedOn w:val="Normal"/>
    <w:rsid w:val="00024BCC"/>
    <w:pPr>
      <w:widowControl w:val="0"/>
      <w:suppressAutoHyphens/>
      <w:ind w:firstLine="1134"/>
      <w:jc w:val="both"/>
    </w:pPr>
    <w:rPr>
      <w:sz w:val="24"/>
    </w:rPr>
  </w:style>
  <w:style w:type="paragraph" w:styleId="NormalWeb">
    <w:name w:val="Normal (Web)"/>
    <w:basedOn w:val="Normal"/>
    <w:uiPriority w:val="99"/>
    <w:unhideWhenUsed/>
    <w:rsid w:val="00DA57CD"/>
    <w:pPr>
      <w:spacing w:before="100" w:beforeAutospacing="1" w:after="100" w:afterAutospacing="1"/>
    </w:pPr>
    <w:rPr>
      <w:sz w:val="24"/>
      <w:szCs w:val="24"/>
    </w:rPr>
  </w:style>
  <w:style w:type="paragraph" w:styleId="PargrafodaLista">
    <w:name w:val="List Paragraph"/>
    <w:basedOn w:val="Normal"/>
    <w:uiPriority w:val="34"/>
    <w:qFormat/>
    <w:rsid w:val="00CC3D63"/>
    <w:pPr>
      <w:spacing w:after="0"/>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391657176">
      <w:bodyDiv w:val="1"/>
      <w:marLeft w:val="0"/>
      <w:marRight w:val="0"/>
      <w:marTop w:val="0"/>
      <w:marBottom w:val="0"/>
      <w:divBdr>
        <w:top w:val="none" w:sz="0" w:space="0" w:color="auto"/>
        <w:left w:val="none" w:sz="0" w:space="0" w:color="auto"/>
        <w:bottom w:val="none" w:sz="0" w:space="0" w:color="auto"/>
        <w:right w:val="none" w:sz="0" w:space="0" w:color="auto"/>
      </w:divBdr>
    </w:div>
    <w:div w:id="667826474">
      <w:bodyDiv w:val="1"/>
      <w:marLeft w:val="0"/>
      <w:marRight w:val="0"/>
      <w:marTop w:val="0"/>
      <w:marBottom w:val="0"/>
      <w:divBdr>
        <w:top w:val="none" w:sz="0" w:space="0" w:color="auto"/>
        <w:left w:val="none" w:sz="0" w:space="0" w:color="auto"/>
        <w:bottom w:val="none" w:sz="0" w:space="0" w:color="auto"/>
        <w:right w:val="none" w:sz="0" w:space="0" w:color="auto"/>
      </w:divBdr>
    </w:div>
    <w:div w:id="948318491">
      <w:bodyDiv w:val="1"/>
      <w:marLeft w:val="0"/>
      <w:marRight w:val="0"/>
      <w:marTop w:val="0"/>
      <w:marBottom w:val="0"/>
      <w:divBdr>
        <w:top w:val="none" w:sz="0" w:space="0" w:color="auto"/>
        <w:left w:val="none" w:sz="0" w:space="0" w:color="auto"/>
        <w:bottom w:val="none" w:sz="0" w:space="0" w:color="auto"/>
        <w:right w:val="none" w:sz="0" w:space="0" w:color="auto"/>
      </w:divBdr>
    </w:div>
    <w:div w:id="1276908611">
      <w:bodyDiv w:val="1"/>
      <w:marLeft w:val="0"/>
      <w:marRight w:val="0"/>
      <w:marTop w:val="0"/>
      <w:marBottom w:val="0"/>
      <w:divBdr>
        <w:top w:val="none" w:sz="0" w:space="0" w:color="auto"/>
        <w:left w:val="none" w:sz="0" w:space="0" w:color="auto"/>
        <w:bottom w:val="none" w:sz="0" w:space="0" w:color="auto"/>
        <w:right w:val="none" w:sz="0" w:space="0" w:color="auto"/>
      </w:divBdr>
    </w:div>
    <w:div w:id="1471702630">
      <w:bodyDiv w:val="1"/>
      <w:marLeft w:val="0"/>
      <w:marRight w:val="0"/>
      <w:marTop w:val="0"/>
      <w:marBottom w:val="0"/>
      <w:divBdr>
        <w:top w:val="none" w:sz="0" w:space="0" w:color="auto"/>
        <w:left w:val="none" w:sz="0" w:space="0" w:color="auto"/>
        <w:bottom w:val="none" w:sz="0" w:space="0" w:color="auto"/>
        <w:right w:val="none" w:sz="0" w:space="0" w:color="auto"/>
      </w:divBdr>
      <w:divsChild>
        <w:div w:id="191104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B3D0-A439-499A-99E1-4444AB90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4334</Words>
  <Characters>25649</Characters>
  <Application>Microsoft Office Word</Application>
  <DocSecurity>0</DocSecurity>
  <Lines>213</Lines>
  <Paragraphs>59</Paragraphs>
  <ScaleCrop>false</ScaleCrop>
  <HeadingPairs>
    <vt:vector size="2" baseType="variant">
      <vt:variant>
        <vt:lpstr>Título</vt:lpstr>
      </vt:variant>
      <vt:variant>
        <vt:i4>1</vt:i4>
      </vt:variant>
    </vt:vector>
  </HeadingPairs>
  <TitlesOfParts>
    <vt:vector size="1" baseType="lpstr">
      <vt:lpstr>MATRIZ DE PLANEJAMENTO</vt:lpstr>
    </vt:vector>
  </TitlesOfParts>
  <Company>tcu</Company>
  <LinksUpToDate>false</LinksUpToDate>
  <CharactersWithSpaces>29924</CharactersWithSpaces>
  <SharedDoc>false</SharedDoc>
  <HLinks>
    <vt:vector size="12" baseType="variant">
      <vt:variant>
        <vt:i4>3932216</vt:i4>
      </vt:variant>
      <vt:variant>
        <vt:i4>3</vt:i4>
      </vt:variant>
      <vt:variant>
        <vt:i4>0</vt:i4>
      </vt:variant>
      <vt:variant>
        <vt:i4>5</vt:i4>
      </vt:variant>
      <vt:variant>
        <vt:lpwstr>http://www.sintegra.gov.br/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PLANEJAMENTO</dc:title>
  <dc:creator>Antonio Alves de Carvalho Neto</dc:creator>
  <cp:lastModifiedBy>luciae</cp:lastModifiedBy>
  <cp:revision>11</cp:revision>
  <cp:lastPrinted>2009-08-12T19:15:00Z</cp:lastPrinted>
  <dcterms:created xsi:type="dcterms:W3CDTF">2013-06-13T17:42:00Z</dcterms:created>
  <dcterms:modified xsi:type="dcterms:W3CDTF">2013-12-16T13:49:00Z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Interno</vt:lpwstr>
  </property>
</Properties>
</file>